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drawing>
          <wp:inline distT="0" distB="0" distL="0" distR="0">
            <wp:extent cx="5715000" cy="914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144000"/>
                    </a:xfrm>
                    <a:prstGeom prst="rect">
                      <a:avLst/>
                    </a:prstGeom>
                  </pic:spPr>
                </pic:pic>
              </a:graphicData>
            </a:graphic>
          </wp:inline>
        </w:drawing>
      </w:r>
    </w:p>
    <w:p>
      <w:r>
        <w:br w:type="page"/>
      </w:r>
    </w:p>
    <w:p>
      <w:pPr>
        <w:spacing w:before="2000"/>
      </w:pPr>
    </w:p>
    <w:p>
      <w:pPr>
        <w:jc w:val="center"/>
      </w:pPr>
      <w:r>
        <w:rPr>
          <w:b/>
          <w:bCs/>
          <w:color w:val="1B2A4A"/>
          <w:sz w:val="64"/>
          <w:szCs w:val="64"/>
        </w:rPr>
        <w:t xml:space="preserve">CARBON FREE FUTURE</w:t>
      </w:r>
    </w:p>
    <w:p>
      <w:pPr>
        <w:spacing w:after="400" w:before="200"/>
        <w:jc w:val="center"/>
      </w:pPr>
      <w:r>
        <w:rPr>
          <w:i/>
          <w:iCs/>
          <w:color w:val="9C7A2E"/>
          <w:sz w:val="28"/>
          <w:szCs w:val="28"/>
        </w:rPr>
        <w:t xml:space="preserve">A Sovereign, State-Owned National Energy Programme</w:t>
      </w:r>
    </w:p>
    <w:p>
      <w:pPr>
        <w:spacing w:after="100"/>
        <w:jc w:val="center"/>
      </w:pPr>
      <w:r>
        <w:rPr>
          <w:sz w:val="22"/>
          <w:szCs w:val="22"/>
        </w:rPr>
        <w:t xml:space="preserve">28 Mega-Sites · 1,344 HTGR Modules · Green Hydrogen</w:t>
      </w:r>
    </w:p>
    <w:p>
      <w:pPr>
        <w:spacing w:after="800"/>
        <w:jc w:val="center"/>
      </w:pPr>
      <w:r>
        <w:rPr>
          <w:sz w:val="22"/>
          <w:szCs w:val="22"/>
        </w:rPr>
        <w:t xml:space="preserve">District Heating · Desalination · Industrial Sovereignty</w:t>
      </w:r>
    </w:p>
    <w:p>
      <w:pPr>
        <w:spacing w:before="1400"/>
        <w:jc w:val="center"/>
      </w:pPr>
      <w:r>
        <w:rPr>
          <w:b/>
          <w:bCs/>
          <w:sz w:val="24"/>
          <w:szCs w:val="24"/>
        </w:rPr>
        <w:t xml:space="preserve">Written by DJ Waugh</w:t>
      </w:r>
    </w:p>
    <w:p>
      <w:pPr>
        <w:spacing w:after="100"/>
        <w:jc w:val="center"/>
      </w:pPr>
      <w:r>
        <w:rPr>
          <w:i/>
          <w:iCs/>
          <w:sz w:val="22"/>
          <w:szCs w:val="22"/>
        </w:rPr>
        <w:t xml:space="preserve">Retired Engineer · North East England</w:t>
      </w:r>
    </w:p>
    <w:p>
      <w:pPr>
        <w:jc w:val="center"/>
      </w:pPr>
      <w:r>
        <w:rPr>
          <w:sz w:val="22"/>
          <w:szCs w:val="22"/>
        </w:rPr>
        <w:t xml:space="preserve">2026</w:t>
      </w:r>
    </w:p>
    <w:p>
      <w:r>
        <w:br w:type="page"/>
      </w:r>
    </w:p>
    <w:p>
      <w:pPr>
        <w:pStyle w:val="Heading1"/>
      </w:pPr>
      <w:r>
        <w:rPr>
          <w:color w:val="1B2A4A"/>
        </w:rPr>
        <w:t xml:space="preserve">About This Document</w:t>
      </w:r>
    </w:p>
    <w:p>
      <w:pPr>
        <w:spacing w:after="200" w:before="200" w:line="300"/>
      </w:pPr>
      <w:r>
        <w:rPr>
          <w:sz w:val="22"/>
          <w:szCs w:val="22"/>
        </w:rPr>
        <w:t xml:space="preserve">Carbon Free Future (CFF) is an independent policy proposal for a sovereign, state-owned national energy programme for the United Kingdom. It proposes 28 coastal mega-sites, each housing 48 High-Temperature Gas-Cooled Reactor (HTGR) modules, producing green hydrogen, desalinated water, district heating, and industrial co-products — all under 100% British public ownership.</w:t>
      </w:r>
    </w:p>
    <w:p>
      <w:pPr>
        <w:spacing w:after="200" w:line="300"/>
      </w:pPr>
      <w:r>
        <w:rPr>
          <w:sz w:val="22"/>
          <w:szCs w:val="22"/>
        </w:rPr>
        <w:t xml:space="preserve">This document presents the complete CFF programme in book form: the engineering case, the economic argument, the delivery plan, the jobs strategy, and the sovereignty model. Every number is derived from publicly available data, published reactor specifications, and official cost figures. Nothing is invented. Everything can be checked.</w:t>
      </w:r>
    </w:p>
    <w:p>
      <w:pPr>
        <w:spacing w:after="300" w:line="300"/>
      </w:pPr>
      <w:r>
        <w:rPr>
          <w:sz w:val="22"/>
          <w:szCs w:val="22"/>
        </w:rPr>
        <w:t xml:space="preserve">CFF is not affiliated with any political party, energy company, or commercial interest. It is the work of one retired engineer who believes Britain deserves an honest conversation about its energy future.</w:t>
      </w:r>
    </w:p>
    <w:p>
      <w:pPr>
        <w:spacing w:after="200" w:before="100"/>
        <w:jc w:val="center"/>
      </w:pPr>
      <w:r>
        <w:rPr>
          <w:i/>
          <w:iCs/>
          <w:color w:val="666666"/>
          <w:sz w:val="20"/>
          <w:szCs w:val="20"/>
        </w:rPr>
        <w:t xml:space="preserve">The full programme is published in complete detail at carbonfreefuture.co.uk</w:t>
      </w:r>
    </w:p>
    <w:p>
      <w:pPr>
        <w:spacing w:after="300" w:before="300"/>
        <w:jc w:val="center"/>
      </w:pPr>
      <w:r>
        <w:rPr>
          <w:b/>
          <w:bCs/>
          <w:i/>
          <w:iCs/>
          <w:color w:val="9C7A2E"/>
          <w:sz w:val="24"/>
          <w:szCs w:val="24"/>
        </w:rPr>
        <w:t xml:space="preserve">Challenge the maths. That is the whole point.</w:t>
      </w:r>
    </w:p>
    <w:p>
      <w:pPr>
        <w:spacing w:before="600"/>
      </w:pPr>
      <w:r>
        <w:rPr>
          <w:color w:val="666666"/>
          <w:sz w:val="18"/>
          <w:szCs w:val="18"/>
        </w:rPr>
        <w:t xml:space="preserve">© 2026 DJ Waugh. Carbon Free Future.</w:t>
      </w:r>
    </w:p>
    <w:p>
      <w:r>
        <w:rPr>
          <w:color w:val="666666"/>
          <w:sz w:val="18"/>
          <w:szCs w:val="18"/>
        </w:rPr>
        <w:t xml:space="preserve">A concept for a sovereign state-owned national energy programme.</w:t>
      </w:r>
    </w:p>
    <w:p>
      <w:r>
        <w:br w:type="page"/>
      </w:r>
    </w:p>
    <w:p>
      <w:pPr>
        <w:pStyle w:val="Heading1"/>
      </w:pPr>
      <w:r>
        <w:rPr>
          <w:color w:val="1B2A4A"/>
        </w:rPr>
        <w:t xml:space="preserve">Contents</w:t>
      </w:r>
    </w:p>
    <w:p>
      <w:pPr>
        <w:spacing w:after="260" w:before="100"/>
      </w:pPr>
      <w:hyperlink w:history="1" w:anchor="preface">
        <w:r>
          <w:rPr>
            <w:b/>
            <w:bCs/>
            <w:color w:val="1B2A4A"/>
            <w:sz w:val="22"/>
            <w:szCs w:val="22"/>
            <w:u w:val="single"/>
          </w:rPr>
          <w:t xml:space="preserve">Preface — Why This Exists, and Why It Cannot Wait</w:t>
        </w:r>
      </w:hyperlink>
    </w:p>
    <w:p>
      <w:pPr>
        <w:spacing w:after="60" w:before="220"/>
      </w:pPr>
      <w:hyperlink w:history="1" w:anchor="ch1">
        <w:r>
          <w:rPr>
            <w:b/>
            <w:bCs/>
            <w:color w:val="1B2A4A"/>
            <w:sz w:val="22"/>
            <w:szCs w:val="22"/>
            <w:u w:val="single"/>
          </w:rPr>
          <w:t xml:space="preserve">Chapter 1 — The Case for Carbon Free Future</w:t>
        </w:r>
      </w:hyperlink>
    </w:p>
    <w:p>
      <w:pPr>
        <w:spacing w:after="40"/>
        <w:ind w:left="400"/>
      </w:pPr>
      <w:hyperlink w:history="1" w:anchor="ch1a">
        <w:r>
          <w:rPr>
            <w:color w:val="444444"/>
            <w:sz w:val="20"/>
            <w:szCs w:val="20"/>
            <w:u w:val="single"/>
          </w:rPr>
          <w:t xml:space="preserve">1a. Fantasy or Reality — What This Book's Title Actually Means</w:t>
        </w:r>
      </w:hyperlink>
    </w:p>
    <w:p>
      <w:pPr>
        <w:spacing w:after="40"/>
        <w:ind w:left="400"/>
      </w:pPr>
      <w:hyperlink w:history="1" w:anchor="ch1b">
        <w:r>
          <w:rPr>
            <w:color w:val="444444"/>
            <w:sz w:val="20"/>
            <w:szCs w:val="20"/>
            <w:u w:val="single"/>
          </w:rPr>
          <w:t xml:space="preserve">1b. Why Britain Needs This Now</w:t>
        </w:r>
      </w:hyperlink>
    </w:p>
    <w:p>
      <w:pPr>
        <w:spacing w:after="40"/>
        <w:ind w:left="400"/>
      </w:pPr>
      <w:hyperlink w:history="1" w:anchor="ch1c">
        <w:r>
          <w:rPr>
            <w:color w:val="444444"/>
            <w:sz w:val="20"/>
            <w:szCs w:val="20"/>
            <w:u w:val="single"/>
          </w:rPr>
          <w:t xml:space="preserve">1c. The Hinkley Comparison</w:t>
        </w:r>
      </w:hyperlink>
    </w:p>
    <w:p>
      <w:pPr>
        <w:spacing w:after="40"/>
        <w:ind w:left="400"/>
      </w:pPr>
      <w:hyperlink w:history="1" w:anchor="ch1d">
        <w:r>
          <w:rPr>
            <w:color w:val="444444"/>
            <w:sz w:val="20"/>
            <w:szCs w:val="20"/>
            <w:u w:val="single"/>
          </w:rPr>
          <w:t xml:space="preserve">1d. Cathedral Thinking — Built for Generations</w:t>
        </w:r>
      </w:hyperlink>
    </w:p>
    <w:p>
      <w:pPr>
        <w:spacing w:after="60" w:before="220"/>
      </w:pPr>
      <w:hyperlink w:history="1" w:anchor="ch2">
        <w:r>
          <w:rPr>
            <w:b/>
            <w:bCs/>
            <w:color w:val="1B2A4A"/>
            <w:sz w:val="22"/>
            <w:szCs w:val="22"/>
            <w:u w:val="single"/>
          </w:rPr>
          <w:t xml:space="preserve">Chapter 2 — What CFF Is</w:t>
        </w:r>
      </w:hyperlink>
    </w:p>
    <w:p>
      <w:pPr>
        <w:spacing w:after="40"/>
        <w:ind w:left="400"/>
      </w:pPr>
      <w:hyperlink w:history="1" w:anchor="ch2a">
        <w:r>
          <w:rPr>
            <w:color w:val="444444"/>
            <w:sz w:val="20"/>
            <w:szCs w:val="20"/>
            <w:u w:val="single"/>
          </w:rPr>
          <w:t xml:space="preserve">2a. The Eight-Step Production Cycle</w:t>
        </w:r>
      </w:hyperlink>
    </w:p>
    <w:p>
      <w:pPr>
        <w:spacing w:after="40"/>
        <w:ind w:left="400"/>
      </w:pPr>
      <w:hyperlink w:history="1" w:anchor="ch2b">
        <w:r>
          <w:rPr>
            <w:color w:val="444444"/>
            <w:sz w:val="20"/>
            <w:szCs w:val="20"/>
            <w:u w:val="single"/>
          </w:rPr>
          <w:t xml:space="preserve">2b. What One Site Delivers</w:t>
        </w:r>
      </w:hyperlink>
    </w:p>
    <w:p>
      <w:pPr>
        <w:spacing w:after="40"/>
        <w:ind w:left="400"/>
      </w:pPr>
      <w:hyperlink w:history="1" w:anchor="ch2c">
        <w:r>
          <w:rPr>
            <w:color w:val="444444"/>
            <w:sz w:val="20"/>
            <w:szCs w:val="20"/>
            <w:u w:val="single"/>
          </w:rPr>
          <w:t xml:space="preserve">2c. The Fleet Effect</w:t>
        </w:r>
      </w:hyperlink>
    </w:p>
    <w:p>
      <w:pPr>
        <w:spacing w:after="60" w:before="220"/>
      </w:pPr>
      <w:hyperlink w:history="1" w:anchor="ch3">
        <w:r>
          <w:rPr>
            <w:b/>
            <w:bCs/>
            <w:color w:val="1B2A4A"/>
            <w:sz w:val="22"/>
            <w:szCs w:val="22"/>
            <w:u w:val="single"/>
          </w:rPr>
          <w:t xml:space="preserve">Chapter 3 — Ownership &amp; Governance</w:t>
        </w:r>
      </w:hyperlink>
    </w:p>
    <w:p>
      <w:pPr>
        <w:spacing w:after="40"/>
        <w:ind w:left="400"/>
      </w:pPr>
      <w:hyperlink w:history="1" w:anchor="ch3a">
        <w:r>
          <w:rPr>
            <w:color w:val="444444"/>
            <w:sz w:val="20"/>
            <w:szCs w:val="20"/>
            <w:u w:val="single"/>
          </w:rPr>
          <w:t xml:space="preserve">3a. The Sovereign Ownership Doctrine</w:t>
        </w:r>
      </w:hyperlink>
    </w:p>
    <w:p>
      <w:pPr>
        <w:spacing w:after="40"/>
        <w:ind w:left="400"/>
      </w:pPr>
      <w:hyperlink w:history="1" w:anchor="ch3b">
        <w:r>
          <w:rPr>
            <w:color w:val="444444"/>
            <w:sz w:val="20"/>
            <w:szCs w:val="20"/>
            <w:u w:val="single"/>
          </w:rPr>
          <w:t xml:space="preserve">3b. Great British Energy vs Carbon Free Future</w:t>
        </w:r>
      </w:hyperlink>
    </w:p>
    <w:p>
      <w:pPr>
        <w:spacing w:after="60" w:before="220"/>
      </w:pPr>
      <w:hyperlink w:history="1" w:anchor="ch4">
        <w:r>
          <w:rPr>
            <w:b/>
            <w:bCs/>
            <w:color w:val="1B2A4A"/>
            <w:sz w:val="22"/>
            <w:szCs w:val="22"/>
            <w:u w:val="single"/>
          </w:rPr>
          <w:t xml:space="preserve">Chapter 4 — Energy &amp; Hydrogen</w:t>
        </w:r>
      </w:hyperlink>
    </w:p>
    <w:p>
      <w:pPr>
        <w:spacing w:after="40"/>
        <w:ind w:left="400"/>
      </w:pPr>
      <w:hyperlink w:history="1" w:anchor="ch4a">
        <w:r>
          <w:rPr>
            <w:color w:val="444444"/>
            <w:sz w:val="20"/>
            <w:szCs w:val="20"/>
            <w:u w:val="single"/>
          </w:rPr>
          <w:t xml:space="preserve">4a. Baseline Power Isn't Optional — I Lived Through the Alternative</w:t>
        </w:r>
      </w:hyperlink>
    </w:p>
    <w:p>
      <w:pPr>
        <w:spacing w:after="40"/>
        <w:ind w:left="400"/>
      </w:pPr>
      <w:hyperlink w:history="1" w:anchor="ch4b">
        <w:r>
          <w:rPr>
            <w:color w:val="444444"/>
            <w:sz w:val="20"/>
            <w:szCs w:val="20"/>
            <w:u w:val="single"/>
          </w:rPr>
          <w:t xml:space="preserve">4b. Why HTGR — Not a PWR, BWR, or Molten Salt Reactor</w:t>
        </w:r>
      </w:hyperlink>
    </w:p>
    <w:p>
      <w:pPr>
        <w:spacing w:after="40"/>
        <w:ind w:left="400"/>
      </w:pPr>
      <w:hyperlink w:history="1" w:anchor="ch4c">
        <w:r>
          <w:rPr>
            <w:color w:val="444444"/>
            <w:sz w:val="20"/>
            <w:szCs w:val="20"/>
            <w:u w:val="single"/>
          </w:rPr>
          <w:t xml:space="preserve">4c. Why HTSE — Not PEM or Alkaline Electrolysis</w:t>
        </w:r>
      </w:hyperlink>
    </w:p>
    <w:p>
      <w:pPr>
        <w:spacing w:after="40"/>
        <w:ind w:left="400"/>
      </w:pPr>
      <w:hyperlink w:history="1" w:anchor="ch4d">
        <w:r>
          <w:rPr>
            <w:color w:val="444444"/>
            <w:sz w:val="20"/>
            <w:szCs w:val="20"/>
            <w:u w:val="single"/>
          </w:rPr>
          <w:t xml:space="preserve">4d. Hydrogen Storage and the Battery Reality Check</w:t>
        </w:r>
      </w:hyperlink>
    </w:p>
    <w:p>
      <w:pPr>
        <w:spacing w:after="40"/>
        <w:ind w:left="400"/>
      </w:pPr>
      <w:hyperlink w:history="1" w:anchor="ch4e">
        <w:r>
          <w:rPr>
            <w:color w:val="444444"/>
            <w:sz w:val="20"/>
            <w:szCs w:val="20"/>
            <w:u w:val="single"/>
          </w:rPr>
          <w:t xml:space="preserve">4e. Safe-Flex — Grid Backup Without a Battery</w:t>
        </w:r>
      </w:hyperlink>
    </w:p>
    <w:p>
      <w:pPr>
        <w:spacing w:after="40"/>
        <w:ind w:left="400"/>
      </w:pPr>
      <w:hyperlink w:history="1" w:anchor="ch4f">
        <w:r>
          <w:rPr>
            <w:color w:val="444444"/>
            <w:sz w:val="20"/>
            <w:szCs w:val="20"/>
            <w:u w:val="single"/>
          </w:rPr>
          <w:t xml:space="preserve">4f. The Grid Relief Dividend — What CFF Removes, Not Just What It Adds</w:t>
        </w:r>
      </w:hyperlink>
    </w:p>
    <w:p>
      <w:pPr>
        <w:spacing w:after="60" w:before="220"/>
      </w:pPr>
      <w:hyperlink w:history="1" w:anchor="ch5">
        <w:r>
          <w:rPr>
            <w:b/>
            <w:bCs/>
            <w:color w:val="1B2A4A"/>
            <w:sz w:val="22"/>
            <w:szCs w:val="22"/>
            <w:u w:val="single"/>
          </w:rPr>
          <w:t xml:space="preserve">Chapter 5 — The Delivery Plan</w:t>
        </w:r>
      </w:hyperlink>
    </w:p>
    <w:p>
      <w:pPr>
        <w:spacing w:after="40"/>
        <w:ind w:left="400"/>
      </w:pPr>
      <w:hyperlink w:history="1" w:anchor="ch5a">
        <w:r>
          <w:rPr>
            <w:color w:val="444444"/>
            <w:sz w:val="20"/>
            <w:szCs w:val="20"/>
            <w:u w:val="single"/>
          </w:rPr>
          <w:t xml:space="preserve">5a. The Master Timeline</w:t>
        </w:r>
      </w:hyperlink>
    </w:p>
    <w:p>
      <w:pPr>
        <w:spacing w:after="40"/>
        <w:ind w:left="400"/>
      </w:pPr>
      <w:hyperlink w:history="1" w:anchor="ch5b">
        <w:r>
          <w:rPr>
            <w:color w:val="444444"/>
            <w:sz w:val="20"/>
            <w:szCs w:val="20"/>
            <w:u w:val="single"/>
          </w:rPr>
          <w:t xml:space="preserve">5b. What Happens Without CFF</w:t>
        </w:r>
      </w:hyperlink>
    </w:p>
    <w:p>
      <w:pPr>
        <w:spacing w:after="40"/>
        <w:ind w:left="400"/>
      </w:pPr>
      <w:hyperlink w:history="1" w:anchor="ch5c">
        <w:r>
          <w:rPr>
            <w:color w:val="444444"/>
            <w:sz w:val="20"/>
            <w:szCs w:val="20"/>
            <w:u w:val="single"/>
          </w:rPr>
          <w:t xml:space="preserve">5c. The Staged Build Strategy</w:t>
        </w:r>
      </w:hyperlink>
    </w:p>
    <w:p>
      <w:pPr>
        <w:spacing w:after="60" w:before="220"/>
      </w:pPr>
      <w:hyperlink w:history="1" w:anchor="ch6">
        <w:r>
          <w:rPr>
            <w:b/>
            <w:bCs/>
            <w:color w:val="1B2A4A"/>
            <w:sz w:val="22"/>
            <w:szCs w:val="22"/>
            <w:u w:val="single"/>
          </w:rPr>
          <w:t xml:space="preserve">Chapter 6 — Economics &amp; Funding</w:t>
        </w:r>
      </w:hyperlink>
    </w:p>
    <w:p>
      <w:pPr>
        <w:spacing w:after="40"/>
        <w:ind w:left="400"/>
      </w:pPr>
      <w:hyperlink w:history="1" w:anchor="ch6a">
        <w:r>
          <w:rPr>
            <w:color w:val="444444"/>
            <w:sz w:val="20"/>
            <w:szCs w:val="20"/>
            <w:u w:val="single"/>
          </w:rPr>
          <w:t xml:space="preserve">6a. Progressive Self-Funding</w:t>
        </w:r>
      </w:hyperlink>
    </w:p>
    <w:p>
      <w:pPr>
        <w:spacing w:after="40"/>
        <w:ind w:left="400"/>
      </w:pPr>
      <w:hyperlink w:history="1" w:anchor="ch6b">
        <w:r>
          <w:rPr>
            <w:color w:val="444444"/>
            <w:sz w:val="20"/>
            <w:szCs w:val="20"/>
            <w:u w:val="single"/>
          </w:rPr>
          <w:t xml:space="preserve">6b. The Industrial Ecosystem</w:t>
        </w:r>
      </w:hyperlink>
    </w:p>
    <w:p>
      <w:pPr>
        <w:spacing w:after="40"/>
        <w:ind w:left="400"/>
      </w:pPr>
      <w:hyperlink w:history="1" w:anchor="ch6c">
        <w:r>
          <w:rPr>
            <w:color w:val="444444"/>
            <w:sz w:val="20"/>
            <w:szCs w:val="20"/>
            <w:u w:val="single"/>
          </w:rPr>
          <w:t xml:space="preserve">6c. Treasury Income and the National Comparison</w:t>
        </w:r>
      </w:hyperlink>
    </w:p>
    <w:p>
      <w:pPr>
        <w:spacing w:after="40"/>
        <w:ind w:left="400"/>
      </w:pPr>
      <w:hyperlink w:history="1" w:anchor="ch6d">
        <w:r>
          <w:rPr>
            <w:color w:val="444444"/>
            <w:sz w:val="20"/>
            <w:szCs w:val="20"/>
            <w:u w:val="single"/>
          </w:rPr>
          <w:t xml:space="preserve">6d. The National Wealth Engine</w:t>
        </w:r>
      </w:hyperlink>
    </w:p>
    <w:p>
      <w:pPr>
        <w:spacing w:after="60" w:before="220"/>
      </w:pPr>
      <w:hyperlink w:history="1" w:anchor="ch7">
        <w:r>
          <w:rPr>
            <w:b/>
            <w:bCs/>
            <w:color w:val="1B2A4A"/>
            <w:sz w:val="22"/>
            <w:szCs w:val="22"/>
            <w:u w:val="single"/>
          </w:rPr>
          <w:t xml:space="preserve">Chapter 7 — Sovereignty &amp; Security</w:t>
        </w:r>
      </w:hyperlink>
    </w:p>
    <w:p>
      <w:pPr>
        <w:spacing w:after="40"/>
        <w:ind w:left="400"/>
      </w:pPr>
      <w:hyperlink w:history="1" w:anchor="ch7a">
        <w:r>
          <w:rPr>
            <w:color w:val="444444"/>
            <w:sz w:val="20"/>
            <w:szCs w:val="20"/>
            <w:u w:val="single"/>
          </w:rPr>
          <w:t xml:space="preserve">7a. Industrial Independence</w:t>
        </w:r>
      </w:hyperlink>
    </w:p>
    <w:p>
      <w:pPr>
        <w:spacing w:after="40"/>
        <w:ind w:left="400"/>
      </w:pPr>
      <w:hyperlink w:history="1" w:anchor="ch7b">
        <w:r>
          <w:rPr>
            <w:color w:val="444444"/>
            <w:sz w:val="20"/>
            <w:szCs w:val="20"/>
            <w:u w:val="single"/>
          </w:rPr>
          <w:t xml:space="preserve">7b. Food &amp; Ocean Security</w:t>
        </w:r>
      </w:hyperlink>
    </w:p>
    <w:p>
      <w:pPr>
        <w:spacing w:after="60" w:before="220"/>
      </w:pPr>
      <w:hyperlink w:history="1" w:anchor="ch8">
        <w:r>
          <w:rPr>
            <w:b/>
            <w:bCs/>
            <w:color w:val="1B2A4A"/>
            <w:sz w:val="22"/>
            <w:szCs w:val="22"/>
            <w:u w:val="single"/>
          </w:rPr>
          <w:t xml:space="preserve">Chapter 8 — Jobs &amp; Regeneration</w:t>
        </w:r>
      </w:hyperlink>
    </w:p>
    <w:p>
      <w:pPr>
        <w:spacing w:after="40"/>
        <w:ind w:left="400"/>
      </w:pPr>
      <w:hyperlink w:history="1" w:anchor="ch8a">
        <w:r>
          <w:rPr>
            <w:color w:val="444444"/>
            <w:sz w:val="20"/>
            <w:szCs w:val="20"/>
            <w:u w:val="single"/>
          </w:rPr>
          <w:t xml:space="preserve">8a. The North Sea Worker Transition</w:t>
        </w:r>
      </w:hyperlink>
    </w:p>
    <w:p>
      <w:pPr>
        <w:spacing w:after="40"/>
        <w:ind w:left="400"/>
      </w:pPr>
      <w:hyperlink w:history="1" w:anchor="ch8b">
        <w:r>
          <w:rPr>
            <w:color w:val="444444"/>
            <w:sz w:val="20"/>
            <w:szCs w:val="20"/>
            <w:u w:val="single"/>
          </w:rPr>
          <w:t xml:space="preserve">8b. Where the 18,000 Jobs Per Site Come From</w:t>
        </w:r>
      </w:hyperlink>
    </w:p>
    <w:p>
      <w:pPr>
        <w:spacing w:after="40"/>
        <w:ind w:left="400"/>
      </w:pPr>
      <w:hyperlink w:history="1" w:anchor="ch8c">
        <w:r>
          <w:rPr>
            <w:color w:val="444444"/>
            <w:sz w:val="20"/>
            <w:szCs w:val="20"/>
            <w:u w:val="single"/>
          </w:rPr>
          <w:t xml:space="preserve">8c. The Renewal Question</w:t>
        </w:r>
      </w:hyperlink>
    </w:p>
    <w:p>
      <w:pPr>
        <w:spacing w:after="40"/>
        <w:ind w:left="400"/>
      </w:pPr>
      <w:hyperlink w:history="1" w:anchor="ch8d">
        <w:r>
          <w:rPr>
            <w:color w:val="444444"/>
            <w:sz w:val="20"/>
            <w:szCs w:val="20"/>
            <w:u w:val="single"/>
          </w:rPr>
          <w:t xml:space="preserve">8d. The Same State, A Different Postcode</w:t>
        </w:r>
      </w:hyperlink>
    </w:p>
    <w:p>
      <w:pPr>
        <w:spacing w:after="60" w:before="220"/>
      </w:pPr>
      <w:hyperlink w:history="1" w:anchor="ch9">
        <w:r>
          <w:rPr>
            <w:b/>
            <w:bCs/>
            <w:color w:val="1B2A4A"/>
            <w:sz w:val="22"/>
            <w:szCs w:val="22"/>
            <w:u w:val="single"/>
          </w:rPr>
          <w:t xml:space="preserve">Chapter 9 — Engineering &amp; Operations</w:t>
        </w:r>
      </w:hyperlink>
    </w:p>
    <w:p>
      <w:pPr>
        <w:spacing w:after="40"/>
        <w:ind w:left="400"/>
      </w:pPr>
      <w:hyperlink w:history="1" w:anchor="ch9a">
        <w:r>
          <w:rPr>
            <w:color w:val="444444"/>
            <w:sz w:val="20"/>
            <w:szCs w:val="20"/>
            <w:u w:val="single"/>
          </w:rPr>
          <w:t xml:space="preserve">9a. Engineering Drawings</w:t>
        </w:r>
      </w:hyperlink>
    </w:p>
    <w:p>
      <w:pPr>
        <w:spacing w:after="40"/>
        <w:ind w:left="400"/>
      </w:pPr>
      <w:hyperlink w:history="1" w:anchor="ch9b">
        <w:r>
          <w:rPr>
            <w:color w:val="444444"/>
            <w:sz w:val="20"/>
            <w:szCs w:val="20"/>
            <w:u w:val="single"/>
          </w:rPr>
          <w:t xml:space="preserve">9b. Fleet Control in Practice</w:t>
        </w:r>
      </w:hyperlink>
    </w:p>
    <w:p>
      <w:pPr>
        <w:spacing w:after="40"/>
        <w:ind w:left="400"/>
      </w:pPr>
      <w:hyperlink w:history="1" w:anchor="ch9c">
        <w:r>
          <w:rPr>
            <w:color w:val="444444"/>
            <w:sz w:val="20"/>
            <w:szCs w:val="20"/>
            <w:u w:val="single"/>
          </w:rPr>
          <w:t xml:space="preserve">9c. The National Dashboard</w:t>
        </w:r>
      </w:hyperlink>
    </w:p>
    <w:p>
      <w:pPr>
        <w:spacing w:after="60" w:before="220"/>
      </w:pPr>
      <w:hyperlink w:history="1" w:anchor="ch10">
        <w:r>
          <w:rPr>
            <w:b/>
            <w:bCs/>
            <w:color w:val="1B2A4A"/>
            <w:sz w:val="22"/>
            <w:szCs w:val="22"/>
            <w:u w:val="single"/>
          </w:rPr>
          <w:t xml:space="preserve">Chapter 10 — Scrutiny &amp; Evidence</w:t>
        </w:r>
      </w:hyperlink>
    </w:p>
    <w:p>
      <w:pPr>
        <w:spacing w:after="40"/>
        <w:ind w:left="400"/>
      </w:pPr>
      <w:hyperlink w:history="1" w:anchor="ch10a">
        <w:r>
          <w:rPr>
            <w:color w:val="444444"/>
            <w:sz w:val="20"/>
            <w:szCs w:val="20"/>
            <w:u w:val="single"/>
          </w:rPr>
          <w:t xml:space="preserve">10a. Challenge the Maths — The Toughest Questions, Answered</w:t>
        </w:r>
      </w:hyperlink>
    </w:p>
    <w:p>
      <w:pPr>
        <w:spacing w:after="40"/>
        <w:ind w:left="400"/>
      </w:pPr>
      <w:hyperlink w:history="1" w:anchor="ch10b">
        <w:r>
          <w:rPr>
            <w:color w:val="444444"/>
            <w:sz w:val="20"/>
            <w:szCs w:val="20"/>
            <w:u w:val="single"/>
          </w:rPr>
          <w:t xml:space="preserve">10b. How Britain Lost Its Energy Sovereignty</w:t>
        </w:r>
      </w:hyperlink>
    </w:p>
    <w:p>
      <w:pPr>
        <w:spacing w:after="40"/>
        <w:ind w:left="400"/>
      </w:pPr>
      <w:hyperlink w:history="1" w:anchor="ch10c">
        <w:r>
          <w:rPr>
            <w:color w:val="444444"/>
            <w:sz w:val="20"/>
            <w:szCs w:val="20"/>
            <w:u w:val="single"/>
          </w:rPr>
          <w:t xml:space="preserve">10c. Sources &amp; References</w:t>
        </w:r>
      </w:hyperlink>
    </w:p>
    <w:p>
      <w:pPr>
        <w:spacing w:after="40"/>
        <w:ind w:left="400"/>
      </w:pPr>
      <w:hyperlink w:history="1" w:anchor="ch10d">
        <w:r>
          <w:rPr>
            <w:color w:val="444444"/>
            <w:sz w:val="20"/>
            <w:szCs w:val="20"/>
            <w:u w:val="single"/>
          </w:rPr>
          <w:t xml:space="preserve">10d. About the Author</w:t>
        </w:r>
      </w:hyperlink>
    </w:p>
    <w:p>
      <w:r>
        <w:br w:type="page"/>
      </w:r>
    </w:p>
    <w:p>
      <w:pPr>
        <w:pStyle w:val="Heading1"/>
      </w:pPr>
      <w:bookmarkStart w:name="preface" w:id="1"/>
      <w:r>
        <w:rPr>
          <w:color w:val="1B2A4A"/>
        </w:rPr>
        <w:t xml:space="preserve">Preface</w:t>
      </w:r>
      <w:bookmarkEnd w:id="1"/>
    </w:p>
    <w:p>
      <w:pPr>
        <w:spacing w:after="300" w:before="100"/>
      </w:pPr>
      <w:r>
        <w:rPr>
          <w:i/>
          <w:iCs/>
          <w:color w:val="9C7A2E"/>
          <w:sz w:val="24"/>
          <w:szCs w:val="24"/>
        </w:rPr>
        <w:t xml:space="preserve">Why This Exists, and Why It Cannot Wait</w:t>
      </w:r>
    </w:p>
    <w:p>
      <w:pPr>
        <w:spacing w:after="200" w:line="300"/>
      </w:pPr>
      <w:r>
        <w:rPr>
          <w:sz w:val="22"/>
          <w:szCs w:val="22"/>
        </w:rPr>
        <w:t xml:space="preserve">Britain is an island with 19,500 miles of coastline, surrounded on every side by the raw material for unlimited clean energy. Since 2004 it has been a net importer of energy. It has a legally binding target to reach net zero by 2050, and no credible sovereign plan to get there. Every winter, the country's ability to keep the lights on and the heating running depends on wind that may or may not blow, gas that must be shipped in from abroad, and a nuclear new-build programme that has taken thirteen years and counting to deliver a single power station.</w:t>
      </w:r>
    </w:p>
    <w:p>
      <w:pPr>
        <w:spacing w:after="200" w:line="300"/>
      </w:pPr>
      <w:r>
        <w:rPr>
          <w:sz w:val="22"/>
          <w:szCs w:val="22"/>
        </w:rPr>
        <w:t xml:space="preserve">Carbon Free Future (CFF) is a proposal to end that dependency. It is not a subsidy scheme, a wind farm, or a research project. It is a plan to build 28 state-owned coastal mega-sites around the British coastline, each housing 48 High-Temperature Gas-Cooled Reactor modules, producing green hydrogen, clean electricity, desalinated water, district heating, and a chain of industrial co-products that no other energy programme on Earth generates from a single site. One site costs roughly £15 billion at series-production scale — less than a third of Hinkley Point C — and generates more electrical capacity than Hinkley, though its primary job is making hydrogen, not feeding the grid, plus everything else besides. It is designed to run for 200 years.</w:t>
      </w:r>
    </w:p>
    <w:p>
      <w:pPr>
        <w:pStyle w:val="Heading4"/>
        <w:spacing w:after="120" w:before="200"/>
      </w:pPr>
      <w:r>
        <w:rPr>
          <w:b/>
          <w:bCs/>
          <w:color w:val="1B2A4A"/>
          <w:sz w:val="24"/>
          <w:szCs w:val="24"/>
        </w:rPr>
        <w:t xml:space="preserve">Why This Matters Now</w:t>
      </w:r>
    </w:p>
    <w:p>
      <w:pPr>
        <w:spacing w:after="200" w:line="300"/>
      </w:pPr>
      <w:r>
        <w:rPr>
          <w:sz w:val="22"/>
          <w:szCs w:val="22"/>
        </w:rPr>
        <w:t xml:space="preserve">Britain has been here before, and forgotten how it felt. The Victorians built sewers, railways, and reservoirs that still serve millions of people today. They built for centuries, not for one parliament or one election cycle. Somewhere in the last fifty years, Britain lost that habit. The North Sea gave the country a generation of energy sovereignty and then ran down, and rather than build its successor, Britain sold the assets, opened the door to foreign ownership, and let the skills and the industrial confidence that built the North Sea drift toward decommissioning work and redundancy notices.</w:t>
      </w:r>
    </w:p>
    <w:p>
      <w:pPr>
        <w:spacing w:after="200" w:line="300"/>
      </w:pPr>
      <w:r>
        <w:rPr>
          <w:sz w:val="22"/>
          <w:szCs w:val="22"/>
        </w:rPr>
        <w:t xml:space="preserve">That drift has a cost that shows up everywhere at once. Roughly 35,000 North Sea workers face the end of their industry with a redundancy cheque and a retraining leaflet, not a plan. British steel, British fertiliser, British cement, and British chemicals are increasingly built somewhere else, using energy Britain does not control. Millions of households pay for heating through a market exposed to wars and shipping lanes thousands of miles away. And the government's own Fingleton Review has confirmed what anyone watching Hinkley Point C's budget already suspected: Britain is the most expensive place in the world to build nuclear power, because it keeps building one-off bespoke megaprojects instead of a repeatable national fleet.</w:t>
      </w:r>
    </w:p>
    <w:p>
      <w:pPr>
        <w:spacing w:after="200" w:line="300"/>
      </w:pPr>
      <w:r>
        <w:rPr>
          <w:sz w:val="22"/>
          <w:szCs w:val="22"/>
        </w:rPr>
        <w:t xml:space="preserve">CFF exists because someone looked at that pattern and asked why the answer wasn't obvious. An island nation with more coastline than almost anywhere in Europe, a workforce with four decades of world-class offshore engineering experience about to be made redundant, and a reactor technology — the High-Temperature Gas-Cooled Reactor — that is hot enough to make green hydrogen efficiently, physically incapable of melting down, and already running commercially in China. Put those three facts next to each other and the shape of the answer writes itself.</w:t>
      </w:r>
    </w:p>
    <w:p>
      <w:pPr>
        <w:pStyle w:val="Heading4"/>
        <w:spacing w:after="120" w:before="200"/>
      </w:pPr>
      <w:r>
        <w:rPr>
          <w:b/>
          <w:bCs/>
          <w:color w:val="1B2A4A"/>
          <w:sz w:val="24"/>
          <w:szCs w:val="24"/>
        </w:rPr>
        <w:t xml:space="preserve">Why Someone Has to Push for This</w:t>
      </w:r>
    </w:p>
    <w:p>
      <w:pPr>
        <w:spacing w:after="200" w:line="300"/>
      </w:pPr>
      <w:r>
        <w:rPr>
          <w:sz w:val="22"/>
          <w:szCs w:val="22"/>
        </w:rPr>
        <w:t xml:space="preserve">Every serious infrastructure programme in British history — the sewers, the railways, the National Grid, the NHS — needed someone to make the case before the political system was ready to hear it. None of them looked inevitable in advance. They looked expensive, slow, and politically risky, right up until the point where not building them looked far more expensive, slower, and riskier still.</w:t>
      </w:r>
    </w:p>
    <w:p>
      <w:pPr>
        <w:spacing w:after="200" w:line="300"/>
      </w:pPr>
      <w:r>
        <w:rPr>
          <w:sz w:val="22"/>
          <w:szCs w:val="22"/>
        </w:rPr>
        <w:t xml:space="preserve">CFF is at that stage now. The engineering is not speculative — every component already exists and operates somewhere in the world today. The economics are not fantasy — every figure in this document is derived from published reactor specifications, current UK market prices, and official cost data, including Hinkley Point C's own reported budget history. What is missing is not proof. What is missing is the political will to look at a proposal from outside the usual channels — not a lobbying firm, not a foreign consortium, not a think tank with a commercial interest — and take it seriously on its merits.</w:t>
      </w:r>
    </w:p>
    <w:p>
      <w:pPr>
        <w:spacing w:after="200" w:line="300"/>
      </w:pPr>
      <w:r>
        <w:rPr>
          <w:sz w:val="22"/>
          <w:szCs w:val="22"/>
        </w:rPr>
        <w:t xml:space="preserve">This document exists to make that easier. It sets out the full case: what CFF is, how it works, what it costs, how it pays for itself, who it employs, and what happens to Britain if nobody builds it. Every number here can be checked. That is deliberate. The whole proposal rests on a simple challenge: if the maths is wrong, show where. If it isn't, then the only question left is why Britain hasn't already started.</w:t>
      </w:r>
    </w:p>
    <w:p>
      <w:pPr>
        <w:pBdr>
          <w:left w:val="single" w:color="9C7A2E" w:sz="18" w:space="12"/>
        </w:pBdr>
        <w:spacing w:after="200" w:before="160"/>
        <w:ind w:left="500" w:right="500"/>
      </w:pPr>
      <w:r>
        <w:rPr>
          <w:i/>
          <w:iCs/>
          <w:color w:val="333333"/>
          <w:sz w:val="22"/>
          <w:szCs w:val="22"/>
        </w:rPr>
        <w:t xml:space="preserve">“Challenge the maths. That is the whole point.” — DJ Waugh, Retired Engineer and Creator of Carbon Free Future</w:t>
      </w:r>
    </w:p>
    <w:p>
      <w:r>
        <w:br w:type="page"/>
      </w:r>
    </w:p>
    <w:p>
      <w:pPr>
        <w:pStyle w:val="Heading1"/>
      </w:pPr>
      <w:bookmarkStart w:name="ch1" w:id="1"/>
      <w:r>
        <w:rPr>
          <w:color w:val="9C7A2E"/>
          <w:sz w:val="22"/>
          <w:szCs w:val="22"/>
        </w:rPr>
        <w:t xml:space="preserve">Chapter 1 — The Case for Carbon Free Future</w:t>
      </w:r>
      <w:bookmarkEnd w:id="1"/>
    </w:p>
    <w:p>
      <w:pPr>
        <w:spacing w:after="240" w:before="60"/>
      </w:pPr>
      <w:r>
        <w:rPr>
          <w:b/>
          <w:bCs/>
          <w:color w:val="1B2A4A"/>
          <w:sz w:val="40"/>
          <w:szCs w:val="40"/>
        </w:rPr>
        <w:t xml:space="preserve">The Case for Carbon Free Future</w:t>
      </w:r>
    </w:p>
    <w:p>
      <w:pPr>
        <w:spacing w:after="300" w:line="300"/>
      </w:pPr>
      <w:r>
        <w:rPr>
          <w:i/>
          <w:iCs/>
          <w:color w:val="333333"/>
          <w:sz w:val="22"/>
          <w:szCs w:val="22"/>
        </w:rPr>
        <w:t xml:space="preserve">Britain already has the answer. It just hasn't built it yet. This chapter sets out why CFF is needed now, how it compares to the nuclear programme currently under construction, and why it is designed to last two centuries rather than a few decades.</w:t>
      </w:r>
    </w:p>
    <w:p>
      <w:pPr>
        <w:pStyle w:val="Heading2"/>
        <w:spacing w:after="160" w:before="300"/>
      </w:pPr>
      <w:bookmarkStart w:name="ch1a" w:id="1"/>
      <w:r>
        <w:rPr>
          <w:b/>
          <w:bCs/>
          <w:color w:val="1B2A4A"/>
        </w:rPr>
        <w:t xml:space="preserve">1a. Fantasy or Reality — What This Book's Title Actually Means</w:t>
      </w:r>
      <w:bookmarkEnd w:id="1"/>
    </w:p>
    <w:p>
      <w:pPr>
        <w:spacing w:after="200" w:line="300"/>
      </w:pPr>
      <w:r>
        <w:rPr>
          <w:sz w:val="22"/>
          <w:szCs w:val="22"/>
        </w:rPr>
        <w:t xml:space="preserve">This book is called Carbon Free Future: Fantasy or Reality? because that is the honest choice on the table, and it deserves stating plainly before a single figure is presented. The Fantasy is the plan currently being rolled out. The Reality is what it would actually take to keep Britain's lights on, its factories running, and its homes warm, once every part of that plan is examined properly rather than taken on trust.</w:t>
      </w:r>
    </w:p>
    <w:p>
      <w:pPr>
        <w:spacing w:after="100" w:before="200"/>
      </w:pPr>
      <w:r>
        <w:rPr>
          <w:b/>
          <w:bCs/>
          <w:i/>
          <w:iCs/>
          <w:color w:val="1B2A4A"/>
          <w:sz w:val="22"/>
          <w:szCs w:val="22"/>
        </w:rPr>
        <w:t xml:space="preserve">The Fantasy — Examined Properly</w:t>
      </w:r>
    </w:p>
    <w:p>
      <w:pPr>
        <w:spacing w:after="200" w:line="300"/>
      </w:pPr>
      <w:r>
        <w:rPr>
          <w:sz w:val="22"/>
          <w:szCs w:val="22"/>
        </w:rPr>
        <w:t xml:space="preserve">The government's Clean Power 2030 pathway expects 77 to 82% of Britain's electricity to come from wind and solar. Examine what that actually means in practice, not in the press release.</w:t>
      </w:r>
    </w:p>
    <w:p>
      <w:pPr>
        <w:spacing w:after="200" w:line="300"/>
      </w:pPr>
      <w:r>
        <w:rPr>
          <w:sz w:val="22"/>
          <w:szCs w:val="22"/>
        </w:rPr>
        <w:t xml:space="preserve">Wind does not blow to order. On a still day it produces nothing, which is the failure mode everyone already understands. But it fails in the opposite direction just as badly, and this is the part rarely put in front of the public: when wind blows hard, the grid frequently cannot carry all of it to where it is needed, so wind farms are paid to switch off. In 2025 alone, Britain spent £1.46 billion on wind curtailment and the gas-fired generation needed to replace the power that was switched off — up from £1.23 billion in 2024 — and Ofgem's own projections put that figure on course for £8 billion a year by 2030 if the transmission bottleneck between Scotland and England is not fixed. Seagreen, Scotland's largest offshore wind farm, was curtailed 71% of the time in 2024 and paid £65 million to produce nothing. That is not a rare edge case. It is billpayers funding wind farms to stand still, then funding gas plants a second time to cover the gap those idle turbines left behind — in the same week, sometimes the same day.</w:t>
      </w:r>
    </w:p>
    <w:p>
      <w:pPr>
        <w:spacing w:after="200" w:line="300"/>
      </w:pPr>
      <w:r>
        <w:rPr>
          <w:sz w:val="22"/>
          <w:szCs w:val="22"/>
        </w:rPr>
        <w:t xml:space="preserve">Solar fares no better against its own advertising. UK solar farms run at an average capacity factor of around 10% — meaning the badged nameplate output is delivered roughly one hour in ten, once winter, night, and cloud cover are accounted for, on exactly the days Britain needs power most.</w:t>
      </w:r>
    </w:p>
    <w:p>
      <w:pPr>
        <w:spacing w:after="200" w:line="300"/>
      </w:pPr>
      <w:r>
        <w:rPr>
          <w:sz w:val="22"/>
          <w:szCs w:val="22"/>
        </w:rPr>
        <w:t xml:space="preserve">Put those two failures together — a technology that must be paid to stop when it works too well, and a technology that structurally delivers a tenth of its rating — and you have a national strategy that bets four-fifths of the country's power supply on two systems that fail in opposite directions and cannot cover for each other when both fail at once. That is the Fantasy: a plan that does not survive contact with its own physics, before the conversation even reaches cost.</w:t>
      </w:r>
    </w:p>
    <w:p>
      <w:pPr>
        <w:spacing w:after="100" w:before="200"/>
      </w:pPr>
      <w:r>
        <w:rPr>
          <w:b/>
          <w:bCs/>
          <w:i/>
          <w:iCs/>
          <w:color w:val="1B2A4A"/>
          <w:sz w:val="22"/>
          <w:szCs w:val="22"/>
        </w:rPr>
        <w:t xml:space="preserve">The Reality — Stated Honestly</w:t>
      </w:r>
    </w:p>
    <w:p>
      <w:pPr>
        <w:spacing w:after="200" w:line="300"/>
      </w:pPr>
      <w:r>
        <w:rPr>
          <w:sz w:val="22"/>
          <w:szCs w:val="22"/>
        </w:rPr>
        <w:t xml:space="preserve">CFF is the Reality this book argues for, and it deserves the same honesty applied to it that has just been applied to the alternative. Every individual component of CFF is a proven technology operating commercially today, somewhere in the world: HTGR reactors are running in China, high-temperature electrolysis has been demonstrated at scale by Idaho National Laboratory, desalination plants operate worldwide, and district heating networks have served Scandinavian cities for decades. Nothing in this book requires a technological breakthrough that does not already exist.</w:t>
      </w:r>
    </w:p>
    <w:p>
      <w:pPr>
        <w:spacing w:after="200" w:line="300"/>
      </w:pPr>
      <w:r>
        <w:rPr>
          <w:sz w:val="22"/>
          <w:szCs w:val="22"/>
        </w:rPr>
        <w:t xml:space="preserve">What has not been done before is integrating all of those proven components into 28 identical mega-sites, at national fleet scale, in Britain. That is a genuine first-of-a-kind systems-integration undertaking, and this book does not pretend otherwise — the £15 billion per-site figure quoted throughout is explicitly a series-production target reached only after the fleet-learning curve takes hold, and the first site will cost more and carry more delivery risk than the tenth. That is a different kind of risk to wind and solar's problem, though. Wind and solar's failure is a permanent, structural feature of the physics — no amount of learning curve or fleet effect makes the wind blow harder on a still day. CFF's risk is an execution and scaling risk, of the kind Britain has taken on and solved before: Sellafield, the National Grid, the motorway network, the North Sea itself. Difficult, expensive, and genuinely uncertain in its early stages — but a solvable engineering and delivery problem, not a law of physics standing permanently in the way.</w:t>
      </w:r>
    </w:p>
    <w:p>
      <w:pPr>
        <w:spacing w:after="200" w:line="300"/>
      </w:pPr>
      <w:r>
        <w:rPr>
          <w:sz w:val="22"/>
          <w:szCs w:val="22"/>
        </w:rPr>
        <w:t xml:space="preserve">That is the argument this book makes, and the choice it asks the reader to weigh: a Fantasy that already, on today's evidence, cannot deliver what it promises — or a Reality that is unproven at this scale, honestly labelled as such, but built entirely from parts that already work.</w:t>
      </w:r>
    </w:p>
    <w:p>
      <w:pPr>
        <w:pStyle w:val="Heading2"/>
        <w:spacing w:after="160" w:before="300"/>
      </w:pPr>
      <w:bookmarkStart w:name="ch1b" w:id="1"/>
      <w:r>
        <w:rPr>
          <w:b/>
          <w:bCs/>
          <w:color w:val="1B2A4A"/>
        </w:rPr>
        <w:t xml:space="preserve">1b. Why Britain Needs This Now</w:t>
      </w:r>
      <w:bookmarkEnd w:id="1"/>
    </w:p>
    <w:p>
      <w:pPr>
        <w:spacing w:after="200" w:line="300"/>
      </w:pPr>
      <w:r>
        <w:rPr>
          <w:sz w:val="22"/>
          <w:szCs w:val="22"/>
        </w:rPr>
        <w:t xml:space="preserve">Britain has 19,500 miles of coastline and an ocean of seawater on every side — the raw material for unlimited clean energy. Yet since 2004 the country has been a net importer of energy, dependent on foreign nations for a resource that surrounds it. Britain has a legally binding target to reach net zero by 2050, and no credible sovereign plan to get there.</w:t>
      </w:r>
    </w:p>
    <w:p>
      <w:pPr>
        <w:spacing w:after="200" w:line="300"/>
      </w:pPr>
      <w:r>
        <w:rPr>
          <w:sz w:val="22"/>
          <w:szCs w:val="22"/>
        </w:rPr>
        <w:t xml:space="preserve">An island's land is finite and precious. CFF does not consume it — it liberates it. Twenty-eight compact coastal sites, each built on a fraction of the land a conventional power station requires, powered by the safest reactor technology ever developed — fuel that physically cannot melt, tested across four continents — deliver power, green hydrogen, desalinated water, district heating, and food security. Everything the island needs, drawn from the very sea that built it.</w:t>
      </w:r>
    </w:p>
    <w:p>
      <w:pPr>
        <w:spacing w:after="200" w:line="300"/>
      </w:pPr>
      <w:r>
        <w:rPr>
          <w:sz w:val="22"/>
          <w:szCs w:val="22"/>
        </w:rPr>
        <w:t xml:space="preserve">Each CFF coastal site generates more electrical capacity than Hinkley Point C, though its primary job is producing hydrogen, not feeding the grid, plus green hydrogen, desalinated water, district heating, and industrial outputs Hinkley will never produce — for a minimum of 200 years, ongoing, for as long as required.</w:t>
      </w:r>
    </w:p>
    <w:p>
      <w:pPr>
        <w:pStyle w:val="Heading2"/>
        <w:spacing w:after="160" w:before="300"/>
      </w:pPr>
      <w:bookmarkStart w:name="ch1c" w:id="1"/>
      <w:r>
        <w:rPr>
          <w:b/>
          <w:bCs/>
          <w:color w:val="1B2A4A"/>
        </w:rPr>
        <w:t xml:space="preserve">1c. The Hinkley Comparison</w:t>
      </w:r>
      <w:bookmarkEnd w:id="1"/>
    </w:p>
    <w:p>
      <w:pPr>
        <w:spacing w:after="200" w:line="300"/>
      </w:pPr>
      <w:r>
        <w:rPr>
          <w:sz w:val="22"/>
          <w:szCs w:val="22"/>
        </w:rPr>
        <w:t xml:space="preserve">Hinkley Point C was approved in 2013 at an estimated £16 billion. By 2026, in current prices, the figure stands at approximately £48 billion. It is the most expensive power station ever constructed on Earth, and when it finally switches on, it will produce electricity. Nothing else.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Detail</w:t>
            </w:r>
          </w:p>
        </w:tc>
        <w:tc>
          <w:tcPr>
            <w:tcW w:type="pct" w:w="33%"/>
            <w:shd w:fill="1B2A4A" w:val="clear"/>
            <w:tcMar>
              <w:top w:type="dxa" w:w="80"/>
              <w:left w:type="dxa" w:w="100"/>
              <w:bottom w:type="dxa" w:w="80"/>
              <w:right w:type="dxa" w:w="100"/>
            </w:tcMar>
          </w:tcPr>
          <w:p>
            <w:r>
              <w:rPr>
                <w:b/>
                <w:bCs/>
                <w:color w:val="FFFFFF"/>
                <w:sz w:val="19"/>
                <w:szCs w:val="19"/>
              </w:rPr>
              <w:t xml:space="preserve">Hinkley Point C</w:t>
            </w:r>
          </w:p>
        </w:tc>
        <w:tc>
          <w:tcPr>
            <w:tcW w:type="pct" w:w="33%"/>
            <w:shd w:fill="1B2A4A" w:val="clear"/>
            <w:tcMar>
              <w:top w:type="dxa" w:w="80"/>
              <w:left w:type="dxa" w:w="100"/>
              <w:bottom w:type="dxa" w:w="80"/>
              <w:right w:type="dxa" w:w="100"/>
            </w:tcMar>
          </w:tcPr>
          <w:p>
            <w:r>
              <w:rPr>
                <w:b/>
                <w:bCs/>
                <w:color w:val="FFFFFF"/>
                <w:sz w:val="19"/>
                <w:szCs w:val="19"/>
              </w:rPr>
              <w:t xml:space="preserve">One CFF Site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Cost</w:t>
            </w:r>
          </w:p>
        </w:tc>
        <w:tc>
          <w:tcPr>
            <w:tcW w:type="pct" w:w="33%"/>
            <w:tcMar>
              <w:top w:type="dxa" w:w="80"/>
              <w:left w:type="dxa" w:w="100"/>
              <w:bottom w:type="dxa" w:w="80"/>
              <w:right w:type="dxa" w:w="100"/>
            </w:tcMar>
          </w:tcPr>
          <w:p>
            <w:r>
              <w:rPr>
                <w:b w:val="false"/>
                <w:bCs w:val="false"/>
                <w:color w:val="000000"/>
                <w:sz w:val="19"/>
                <w:szCs w:val="19"/>
              </w:rPr>
              <w:t xml:space="preserve">~£48 billion (2026 prices)</w:t>
            </w:r>
          </w:p>
        </w:tc>
        <w:tc>
          <w:tcPr>
            <w:tcW w:type="pct" w:w="33%"/>
            <w:tcMar>
              <w:top w:type="dxa" w:w="80"/>
              <w:left w:type="dxa" w:w="100"/>
              <w:bottom w:type="dxa" w:w="80"/>
              <w:right w:type="dxa" w:w="100"/>
            </w:tcMar>
          </w:tcPr>
          <w:p>
            <w:r>
              <w:rPr>
                <w:b w:val="false"/>
                <w:bCs w:val="false"/>
                <w:color w:val="000000"/>
                <w:sz w:val="19"/>
                <w:szCs w:val="19"/>
              </w:rPr>
              <w:t xml:space="preserve">~£15 billion (series-production target)</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Electrical Capacity</w:t>
            </w:r>
          </w:p>
        </w:tc>
        <w:tc>
          <w:tcPr>
            <w:tcW w:type="pct" w:w="33%"/>
            <w:tcMar>
              <w:top w:type="dxa" w:w="80"/>
              <w:left w:type="dxa" w:w="100"/>
              <w:bottom w:type="dxa" w:w="80"/>
              <w:right w:type="dxa" w:w="100"/>
            </w:tcMar>
          </w:tcPr>
          <w:p>
            <w:r>
              <w:rPr>
                <w:b w:val="false"/>
                <w:bCs w:val="false"/>
                <w:color w:val="000000"/>
                <w:sz w:val="19"/>
                <w:szCs w:val="19"/>
              </w:rPr>
              <w:t xml:space="preserve">3.26 GWe → grid</w:t>
            </w:r>
          </w:p>
        </w:tc>
        <w:tc>
          <w:tcPr>
            <w:tcW w:type="pct" w:w="33%"/>
            <w:tcMar>
              <w:top w:type="dxa" w:w="80"/>
              <w:left w:type="dxa" w:w="100"/>
              <w:bottom w:type="dxa" w:w="80"/>
              <w:right w:type="dxa" w:w="100"/>
            </w:tcMar>
          </w:tcPr>
          <w:p>
            <w:r>
              <w:rPr>
                <w:b w:val="false"/>
                <w:bCs w:val="false"/>
                <w:color w:val="000000"/>
                <w:sz w:val="19"/>
                <w:szCs w:val="19"/>
              </w:rPr>
              <w:t xml:space="preserve">3.6 GWe → hydrogen on-site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Green Hydrogen</w:t>
            </w:r>
          </w:p>
        </w:tc>
        <w:tc>
          <w:tcPr>
            <w:tcW w:type="pct" w:w="33%"/>
            <w:tcMar>
              <w:top w:type="dxa" w:w="80"/>
              <w:left w:type="dxa" w:w="100"/>
              <w:bottom w:type="dxa" w:w="80"/>
              <w:right w:type="dxa" w:w="100"/>
            </w:tcMar>
          </w:tcPr>
          <w:p>
            <w:r>
              <w:rPr>
                <w:b w:val="false"/>
                <w:bCs w:val="false"/>
                <w:color w:val="000000"/>
                <w:sz w:val="19"/>
                <w:szCs w:val="19"/>
              </w:rPr>
              <w:t xml:space="preserve">None</w:t>
            </w:r>
          </w:p>
        </w:tc>
        <w:tc>
          <w:tcPr>
            <w:tcW w:type="pct" w:w="33%"/>
            <w:tcMar>
              <w:top w:type="dxa" w:w="80"/>
              <w:left w:type="dxa" w:w="100"/>
              <w:bottom w:type="dxa" w:w="80"/>
              <w:right w:type="dxa" w:w="100"/>
            </w:tcMar>
          </w:tcPr>
          <w:p>
            <w:r>
              <w:rPr>
                <w:b w:val="false"/>
                <w:bCs w:val="false"/>
                <w:color w:val="000000"/>
                <w:sz w:val="19"/>
                <w:szCs w:val="19"/>
              </w:rPr>
              <w:t xml:space="preserve">2,072 tonnes/day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Emergency Grid Backup</w:t>
            </w:r>
          </w:p>
        </w:tc>
        <w:tc>
          <w:tcPr>
            <w:tcW w:type="pct" w:w="33%"/>
            <w:tcMar>
              <w:top w:type="dxa" w:w="80"/>
              <w:left w:type="dxa" w:w="100"/>
              <w:bottom w:type="dxa" w:w="80"/>
              <w:right w:type="dxa" w:w="100"/>
            </w:tcMar>
          </w:tcPr>
          <w:p>
            <w:r>
              <w:rPr>
                <w:b w:val="false"/>
                <w:bCs w:val="false"/>
                <w:color w:val="000000"/>
                <w:sz w:val="19"/>
                <w:szCs w:val="19"/>
              </w:rPr>
              <w:t xml:space="preserve">None</w:t>
            </w:r>
          </w:p>
        </w:tc>
        <w:tc>
          <w:tcPr>
            <w:tcW w:type="pct" w:w="33%"/>
            <w:tcMar>
              <w:top w:type="dxa" w:w="80"/>
              <w:left w:type="dxa" w:w="100"/>
              <w:bottom w:type="dxa" w:w="80"/>
              <w:right w:type="dxa" w:w="100"/>
            </w:tcMar>
          </w:tcPr>
          <w:p>
            <w:r>
              <w:rPr>
                <w:b w:val="false"/>
                <w:bCs w:val="false"/>
                <w:color w:val="000000"/>
                <w:sz w:val="19"/>
                <w:szCs w:val="19"/>
              </w:rPr>
              <w:t xml:space="preserve">Up to 1.8 GW per site (~50 GW fleet-wide)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Desalinated Water</w:t>
            </w:r>
          </w:p>
        </w:tc>
        <w:tc>
          <w:tcPr>
            <w:tcW w:type="pct" w:w="33%"/>
            <w:tcMar>
              <w:top w:type="dxa" w:w="80"/>
              <w:left w:type="dxa" w:w="100"/>
              <w:bottom w:type="dxa" w:w="80"/>
              <w:right w:type="dxa" w:w="100"/>
            </w:tcMar>
          </w:tcPr>
          <w:p>
            <w:r>
              <w:rPr>
                <w:b w:val="false"/>
                <w:bCs w:val="false"/>
                <w:color w:val="000000"/>
                <w:sz w:val="19"/>
                <w:szCs w:val="19"/>
              </w:rPr>
              <w:t xml:space="preserve">None</w:t>
            </w:r>
          </w:p>
        </w:tc>
        <w:tc>
          <w:tcPr>
            <w:tcW w:type="pct" w:w="33%"/>
            <w:tcMar>
              <w:top w:type="dxa" w:w="80"/>
              <w:left w:type="dxa" w:w="100"/>
              <w:bottom w:type="dxa" w:w="80"/>
              <w:right w:type="dxa" w:w="100"/>
            </w:tcMar>
          </w:tcPr>
          <w:p>
            <w:r>
              <w:rPr>
                <w:b w:val="false"/>
                <w:bCs w:val="false"/>
                <w:color w:val="000000"/>
                <w:sz w:val="19"/>
                <w:szCs w:val="19"/>
              </w:rPr>
              <w:t xml:space="preserve">50,000 m³/day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District Heating</w:t>
            </w:r>
          </w:p>
        </w:tc>
        <w:tc>
          <w:tcPr>
            <w:tcW w:type="pct" w:w="33%"/>
            <w:tcMar>
              <w:top w:type="dxa" w:w="80"/>
              <w:left w:type="dxa" w:w="100"/>
              <w:bottom w:type="dxa" w:w="80"/>
              <w:right w:type="dxa" w:w="100"/>
            </w:tcMar>
          </w:tcPr>
          <w:p>
            <w:r>
              <w:rPr>
                <w:b w:val="false"/>
                <w:bCs w:val="false"/>
                <w:color w:val="000000"/>
                <w:sz w:val="19"/>
                <w:szCs w:val="19"/>
              </w:rPr>
              <w:t xml:space="preserve">None</w:t>
            </w:r>
          </w:p>
        </w:tc>
        <w:tc>
          <w:tcPr>
            <w:tcW w:type="pct" w:w="33%"/>
            <w:tcMar>
              <w:top w:type="dxa" w:w="80"/>
              <w:left w:type="dxa" w:w="100"/>
              <w:bottom w:type="dxa" w:w="80"/>
              <w:right w:type="dxa" w:w="100"/>
            </w:tcMar>
          </w:tcPr>
          <w:p>
            <w:r>
              <w:rPr>
                <w:b w:val="false"/>
                <w:bCs w:val="false"/>
                <w:color w:val="000000"/>
                <w:sz w:val="19"/>
                <w:szCs w:val="19"/>
              </w:rPr>
              <w:t xml:space="preserve">£500/yr unlimited heat &amp; hot water</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Industrial Outputs</w:t>
            </w:r>
          </w:p>
        </w:tc>
        <w:tc>
          <w:tcPr>
            <w:tcW w:type="pct" w:w="33%"/>
            <w:tcMar>
              <w:top w:type="dxa" w:w="80"/>
              <w:left w:type="dxa" w:w="100"/>
              <w:bottom w:type="dxa" w:w="80"/>
              <w:right w:type="dxa" w:w="100"/>
            </w:tcMar>
          </w:tcPr>
          <w:p>
            <w:r>
              <w:rPr>
                <w:b w:val="false"/>
                <w:bCs w:val="false"/>
                <w:color w:val="000000"/>
                <w:sz w:val="19"/>
                <w:szCs w:val="19"/>
              </w:rPr>
              <w:t xml:space="preserve">None</w:t>
            </w:r>
          </w:p>
        </w:tc>
        <w:tc>
          <w:tcPr>
            <w:tcW w:type="pct" w:w="33%"/>
            <w:tcMar>
              <w:top w:type="dxa" w:w="80"/>
              <w:left w:type="dxa" w:w="100"/>
              <w:bottom w:type="dxa" w:w="80"/>
              <w:right w:type="dxa" w:w="100"/>
            </w:tcMar>
          </w:tcPr>
          <w:p>
            <w:r>
              <w:rPr>
                <w:b w:val="false"/>
                <w:bCs w:val="false"/>
                <w:color w:val="000000"/>
                <w:sz w:val="19"/>
                <w:szCs w:val="19"/>
              </w:rPr>
              <w:t xml:space="preserve">Oxygen, de-icer, chemical feedstocks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Construction Time</w:t>
            </w:r>
          </w:p>
        </w:tc>
        <w:tc>
          <w:tcPr>
            <w:tcW w:type="pct" w:w="33%"/>
            <w:tcMar>
              <w:top w:type="dxa" w:w="80"/>
              <w:left w:type="dxa" w:w="100"/>
              <w:bottom w:type="dxa" w:w="80"/>
              <w:right w:type="dxa" w:w="100"/>
            </w:tcMar>
          </w:tcPr>
          <w:p>
            <w:r>
              <w:rPr>
                <w:b w:val="false"/>
                <w:bCs w:val="false"/>
                <w:color w:val="000000"/>
                <w:sz w:val="19"/>
                <w:szCs w:val="19"/>
              </w:rPr>
              <w:t xml:space="preserve">13+ years and counting</w:t>
            </w:r>
          </w:p>
        </w:tc>
        <w:tc>
          <w:tcPr>
            <w:tcW w:type="pct" w:w="33%"/>
            <w:tcMar>
              <w:top w:type="dxa" w:w="80"/>
              <w:left w:type="dxa" w:w="100"/>
              <w:bottom w:type="dxa" w:w="80"/>
              <w:right w:type="dxa" w:w="100"/>
            </w:tcMar>
          </w:tcPr>
          <w:p>
            <w:r>
              <w:rPr>
                <w:b w:val="false"/>
                <w:bCs w:val="false"/>
                <w:color w:val="000000"/>
                <w:sz w:val="19"/>
                <w:szCs w:val="19"/>
              </w:rPr>
              <w:t xml:space="preserve">Modular parallel construction</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Operational Lifespan</w:t>
            </w:r>
          </w:p>
        </w:tc>
        <w:tc>
          <w:tcPr>
            <w:tcW w:type="pct" w:w="33%"/>
            <w:tcMar>
              <w:top w:type="dxa" w:w="80"/>
              <w:left w:type="dxa" w:w="100"/>
              <w:bottom w:type="dxa" w:w="80"/>
              <w:right w:type="dxa" w:w="100"/>
            </w:tcMar>
          </w:tcPr>
          <w:p>
            <w:r>
              <w:rPr>
                <w:b w:val="false"/>
                <w:bCs w:val="false"/>
                <w:color w:val="000000"/>
                <w:sz w:val="19"/>
                <w:szCs w:val="19"/>
              </w:rPr>
              <w:t xml:space="preserve">60 years</w:t>
            </w:r>
          </w:p>
        </w:tc>
        <w:tc>
          <w:tcPr>
            <w:tcW w:type="pct" w:w="33%"/>
            <w:tcMar>
              <w:top w:type="dxa" w:w="80"/>
              <w:left w:type="dxa" w:w="100"/>
              <w:bottom w:type="dxa" w:w="80"/>
              <w:right w:type="dxa" w:w="100"/>
            </w:tcMar>
          </w:tcPr>
          <w:p>
            <w:r>
              <w:rPr>
                <w:b w:val="false"/>
                <w:bCs w:val="false"/>
                <w:color w:val="000000"/>
                <w:sz w:val="19"/>
                <w:szCs w:val="19"/>
              </w:rPr>
              <w:t xml:space="preserve">200 years (rolling maintenance)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Jobs</w:t>
            </w:r>
          </w:p>
        </w:tc>
        <w:tc>
          <w:tcPr>
            <w:tcW w:type="pct" w:w="33%"/>
            <w:tcMar>
              <w:top w:type="dxa" w:w="80"/>
              <w:left w:type="dxa" w:w="100"/>
              <w:bottom w:type="dxa" w:w="80"/>
              <w:right w:type="dxa" w:w="100"/>
            </w:tcMar>
          </w:tcPr>
          <w:p>
            <w:r>
              <w:rPr>
                <w:b w:val="false"/>
                <w:bCs w:val="false"/>
                <w:color w:val="000000"/>
                <w:sz w:val="19"/>
                <w:szCs w:val="19"/>
              </w:rPr>
              <w:t xml:space="preserve">~26,000 (construction)</w:t>
            </w:r>
          </w:p>
        </w:tc>
        <w:tc>
          <w:tcPr>
            <w:tcW w:type="pct" w:w="33%"/>
            <w:tcMar>
              <w:top w:type="dxa" w:w="80"/>
              <w:left w:type="dxa" w:w="100"/>
              <w:bottom w:type="dxa" w:w="80"/>
              <w:right w:type="dxa" w:w="100"/>
            </w:tcMar>
          </w:tcPr>
          <w:p>
            <w:r>
              <w:rPr>
                <w:b w:val="false"/>
                <w:bCs w:val="false"/>
                <w:color w:val="000000"/>
                <w:sz w:val="19"/>
                <w:szCs w:val="19"/>
              </w:rPr>
              <w:t xml:space="preserve">~18,000 (construction + 200-year operations)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Reactor Type</w:t>
            </w:r>
          </w:p>
        </w:tc>
        <w:tc>
          <w:tcPr>
            <w:tcW w:type="pct" w:w="33%"/>
            <w:tcMar>
              <w:top w:type="dxa" w:w="80"/>
              <w:left w:type="dxa" w:w="100"/>
              <w:bottom w:type="dxa" w:w="80"/>
              <w:right w:type="dxa" w:w="100"/>
            </w:tcMar>
          </w:tcPr>
          <w:p>
            <w:r>
              <w:rPr>
                <w:b w:val="false"/>
                <w:bCs w:val="false"/>
                <w:color w:val="000000"/>
                <w:sz w:val="19"/>
                <w:szCs w:val="19"/>
              </w:rPr>
              <w:t xml:space="preserve">EPR — steam at ~285°C, no H₂</w:t>
            </w:r>
          </w:p>
        </w:tc>
        <w:tc>
          <w:tcPr>
            <w:tcW w:type="pct" w:w="33%"/>
            <w:tcMar>
              <w:top w:type="dxa" w:w="80"/>
              <w:left w:type="dxa" w:w="100"/>
              <w:bottom w:type="dxa" w:w="80"/>
              <w:right w:type="dxa" w:w="100"/>
            </w:tcMar>
          </w:tcPr>
          <w:p>
            <w:r>
              <w:rPr>
                <w:b w:val="false"/>
                <w:bCs w:val="false"/>
                <w:color w:val="000000"/>
                <w:sz w:val="19"/>
                <w:szCs w:val="19"/>
              </w:rPr>
              <w:t xml:space="preserve">HTGR — helium at 750°C, HTSE-ready</w:t>
            </w:r>
          </w:p>
        </w:tc>
      </w:tr>
    </w:tbl>
    <w:p>
      <w:pPr>
        <w:spacing w:after="200"/>
      </w:pPr>
    </w:p>
    <w:p>
      <w:pPr>
        <w:spacing w:after="200" w:line="300"/>
      </w:pPr>
      <w:r>
        <w:rPr>
          <w:sz w:val="22"/>
          <w:szCs w:val="22"/>
        </w:rPr>
        <w:t xml:space="preserve">The Fingleton Review, commissioned by the government itself, found that Britain is “the most expensive place in the world to build nuclear” — a direct consequence of building bespoke, one-off megaprojects rather than a standardised, repeatable fleet. CFF is the direct answer to that finding: 48 identical factory-built HTGR modules per site, 1,344 across the full 28-site fleet.</w:t>
      </w:r>
    </w:p>
    <w:p>
      <w:pPr>
        <w:pStyle w:val="Heading2"/>
        <w:spacing w:after="160" w:before="300"/>
      </w:pPr>
      <w:bookmarkStart w:name="ch1d" w:id="1"/>
      <w:r>
        <w:rPr>
          <w:b/>
          <w:bCs/>
          <w:color w:val="1B2A4A"/>
        </w:rPr>
        <w:t xml:space="preserve">1d. Cathedral Thinking — Built for Generations</w:t>
      </w:r>
      <w:bookmarkEnd w:id="1"/>
    </w:p>
    <w:p>
      <w:pPr>
        <w:spacing w:after="200" w:line="300"/>
      </w:pPr>
      <w:r>
        <w:rPr>
          <w:sz w:val="22"/>
          <w:szCs w:val="22"/>
        </w:rPr>
        <w:t xml:space="preserve">The Victorians understood something modern Britain has largely forgotten: they built sewers, railways, and reservoirs that still serve millions of people today. They did not build for one parliament or one election cycle. They built for centuries.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Infrastructure</w:t>
            </w:r>
          </w:p>
        </w:tc>
        <w:tc>
          <w:tcPr>
            <w:tcW w:type="pct" w:w="33%"/>
            <w:shd w:fill="1B2A4A" w:val="clear"/>
            <w:tcMar>
              <w:top w:type="dxa" w:w="80"/>
              <w:left w:type="dxa" w:w="100"/>
              <w:bottom w:type="dxa" w:w="80"/>
              <w:right w:type="dxa" w:w="100"/>
            </w:tcMar>
          </w:tcPr>
          <w:p>
            <w:r>
              <w:rPr>
                <w:b/>
                <w:bCs/>
                <w:color w:val="FFFFFF"/>
                <w:sz w:val="19"/>
                <w:szCs w:val="19"/>
              </w:rPr>
              <w:t xml:space="preserve">Design Life</w:t>
            </w:r>
          </w:p>
        </w:tc>
        <w:tc>
          <w:tcPr>
            <w:tcW w:type="pct" w:w="33%"/>
            <w:shd w:fill="1B2A4A" w:val="clear"/>
            <w:tcMar>
              <w:top w:type="dxa" w:w="80"/>
              <w:left w:type="dxa" w:w="100"/>
              <w:bottom w:type="dxa" w:w="80"/>
              <w:right w:type="dxa" w:w="100"/>
            </w:tcMar>
          </w:tcPr>
          <w:p>
            <w:r>
              <w:rPr>
                <w:b/>
                <w:bCs/>
                <w:color w:val="FFFFFF"/>
                <w:sz w:val="19"/>
                <w:szCs w:val="19"/>
              </w:rPr>
              <w:t xml:space="preserve">What Happens at End of Life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Offshore Wind Farm</w:t>
            </w:r>
          </w:p>
        </w:tc>
        <w:tc>
          <w:tcPr>
            <w:tcW w:type="pct" w:w="33%"/>
            <w:tcMar>
              <w:top w:type="dxa" w:w="80"/>
              <w:left w:type="dxa" w:w="100"/>
              <w:bottom w:type="dxa" w:w="80"/>
              <w:right w:type="dxa" w:w="100"/>
            </w:tcMar>
          </w:tcPr>
          <w:p>
            <w:r>
              <w:rPr>
                <w:b w:val="false"/>
                <w:bCs w:val="false"/>
                <w:color w:val="000000"/>
                <w:sz w:val="19"/>
                <w:szCs w:val="19"/>
              </w:rPr>
              <w:t xml:space="preserve">25 years</w:t>
            </w:r>
          </w:p>
        </w:tc>
        <w:tc>
          <w:tcPr>
            <w:tcW w:type="pct" w:w="33%"/>
            <w:tcMar>
              <w:top w:type="dxa" w:w="80"/>
              <w:left w:type="dxa" w:w="100"/>
              <w:bottom w:type="dxa" w:w="80"/>
              <w:right w:type="dxa" w:w="100"/>
            </w:tcMar>
          </w:tcPr>
          <w:p>
            <w:r>
              <w:rPr>
                <w:b w:val="false"/>
                <w:bCs w:val="false"/>
                <w:color w:val="000000"/>
                <w:sz w:val="19"/>
                <w:szCs w:val="19"/>
              </w:rPr>
              <w:t xml:space="preserve">Full decommission and rebuild</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Hinkley Point C</w:t>
            </w:r>
          </w:p>
        </w:tc>
        <w:tc>
          <w:tcPr>
            <w:tcW w:type="pct" w:w="33%"/>
            <w:tcMar>
              <w:top w:type="dxa" w:w="80"/>
              <w:left w:type="dxa" w:w="100"/>
              <w:bottom w:type="dxa" w:w="80"/>
              <w:right w:type="dxa" w:w="100"/>
            </w:tcMar>
          </w:tcPr>
          <w:p>
            <w:r>
              <w:rPr>
                <w:b w:val="false"/>
                <w:bCs w:val="false"/>
                <w:color w:val="000000"/>
                <w:sz w:val="19"/>
                <w:szCs w:val="19"/>
              </w:rPr>
              <w:t xml:space="preserve">60 years</w:t>
            </w:r>
          </w:p>
        </w:tc>
        <w:tc>
          <w:tcPr>
            <w:tcW w:type="pct" w:w="33%"/>
            <w:tcMar>
              <w:top w:type="dxa" w:w="80"/>
              <w:left w:type="dxa" w:w="100"/>
              <w:bottom w:type="dxa" w:w="80"/>
              <w:right w:type="dxa" w:w="100"/>
            </w:tcMar>
          </w:tcPr>
          <w:p>
            <w:r>
              <w:rPr>
                <w:b w:val="false"/>
                <w:bCs w:val="false"/>
                <w:color w:val="000000"/>
                <w:sz w:val="19"/>
                <w:szCs w:val="19"/>
              </w:rPr>
              <w:t xml:space="preserve">Decommission after one lifetime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One CFF Site</w:t>
            </w:r>
          </w:p>
        </w:tc>
        <w:tc>
          <w:tcPr>
            <w:tcW w:type="pct" w:w="33%"/>
            <w:tcMar>
              <w:top w:type="dxa" w:w="80"/>
              <w:left w:type="dxa" w:w="100"/>
              <w:bottom w:type="dxa" w:w="80"/>
              <w:right w:type="dxa" w:w="100"/>
            </w:tcMar>
          </w:tcPr>
          <w:p>
            <w:r>
              <w:rPr>
                <w:b w:val="false"/>
                <w:bCs w:val="false"/>
                <w:color w:val="000000"/>
                <w:sz w:val="19"/>
                <w:szCs w:val="19"/>
              </w:rPr>
              <w:t xml:space="preserve">200 years</w:t>
            </w:r>
          </w:p>
        </w:tc>
        <w:tc>
          <w:tcPr>
            <w:tcW w:type="pct" w:w="33%"/>
            <w:tcMar>
              <w:top w:type="dxa" w:w="80"/>
              <w:left w:type="dxa" w:w="100"/>
              <w:bottom w:type="dxa" w:w="80"/>
              <w:right w:type="dxa" w:w="100"/>
            </w:tcMar>
          </w:tcPr>
          <w:p>
            <w:r>
              <w:rPr>
                <w:b w:val="false"/>
                <w:bCs w:val="false"/>
                <w:color w:val="000000"/>
                <w:sz w:val="19"/>
                <w:szCs w:val="19"/>
              </w:rPr>
              <w:t xml:space="preserve">Rolling maintenance across three reactor generations</w:t>
            </w:r>
          </w:p>
        </w:tc>
      </w:tr>
    </w:tbl>
    <w:p>
      <w:pPr>
        <w:spacing w:after="200"/>
      </w:pPr>
    </w:p>
    <w:p>
      <w:pPr>
        <w:pBdr>
          <w:left w:val="single" w:color="9C7A2E" w:sz="18" w:space="12"/>
        </w:pBdr>
        <w:spacing w:after="200" w:before="160"/>
        <w:ind w:left="500" w:right="500"/>
      </w:pPr>
      <w:r>
        <w:rPr>
          <w:i/>
          <w:iCs/>
          <w:color w:val="333333"/>
          <w:sz w:val="22"/>
          <w:szCs w:val="22"/>
        </w:rPr>
        <w:t xml:space="preserve">“A cathedral keeps giving for centuries. You don’t demolish it after 60 years and start again. You maintain it. You improve it. It serves generation after generation after generation.”</w:t>
      </w:r>
    </w:p>
    <w:p>
      <w:pPr>
        <w:spacing w:after="200" w:line="300"/>
      </w:pPr>
      <w:r>
        <w:rPr>
          <w:sz w:val="22"/>
          <w:szCs w:val="22"/>
        </w:rPr>
        <w:t xml:space="preserve">That is how CFF is designed. Three generations of reactor modules, each lasting 60 to 70 years and replaced in rolling sequence, give each site a 200-year operational life. The programme quotes 200 years as a conservative planning horizon, not a hard limit — there is no engineering reason a site could not keep running for as long as Britain needs clean energy, hydrogen, heat, and water. Your grandchildren's grandchildren would still benefit from the first site built.</w:t>
      </w:r>
    </w:p>
    <w:p>
      <w:r>
        <w:br w:type="page"/>
      </w:r>
    </w:p>
    <w:p>
      <w:pPr>
        <w:pStyle w:val="Heading1"/>
      </w:pPr>
      <w:bookmarkStart w:name="ch2" w:id="1"/>
      <w:r>
        <w:rPr>
          <w:color w:val="9C7A2E"/>
          <w:sz w:val="22"/>
          <w:szCs w:val="22"/>
        </w:rPr>
        <w:t xml:space="preserve">Chapter 2 — What CFF Is</w:t>
      </w:r>
      <w:bookmarkEnd w:id="1"/>
    </w:p>
    <w:p>
      <w:pPr>
        <w:spacing w:after="240" w:before="60"/>
      </w:pPr>
      <w:r>
        <w:rPr>
          <w:b/>
          <w:bCs/>
          <w:color w:val="1B2A4A"/>
          <w:sz w:val="40"/>
          <w:szCs w:val="40"/>
        </w:rPr>
        <w:t xml:space="preserve">What CFF Is</w:t>
      </w:r>
    </w:p>
    <w:p>
      <w:pPr>
        <w:spacing w:after="300" w:line="300"/>
      </w:pPr>
      <w:r>
        <w:rPr>
          <w:i/>
          <w:iCs/>
          <w:color w:val="333333"/>
          <w:sz w:val="22"/>
          <w:szCs w:val="22"/>
        </w:rPr>
        <w:t xml:space="preserve">CFF is a network of 28 identical coastal mega-sites forming a unified national energy infrastructure. Not just a power station — a National Wealth Engine. This chapter explains how a single site actually works, what it produces, and why building the same design 28 times is the entire point.</w:t>
      </w:r>
    </w:p>
    <w:p>
      <w:pPr>
        <w:pStyle w:val="Heading2"/>
        <w:spacing w:after="160" w:before="300"/>
      </w:pPr>
      <w:bookmarkStart w:name="ch2a" w:id="1"/>
      <w:r>
        <w:rPr>
          <w:b/>
          <w:bCs/>
          <w:color w:val="1B2A4A"/>
        </w:rPr>
        <w:t xml:space="preserve">2a. The Eight-Step Production Cycle</w:t>
      </w:r>
      <w:bookmarkEnd w:id="1"/>
    </w:p>
    <w:p>
      <w:pPr>
        <w:spacing w:after="200" w:line="300"/>
      </w:pPr>
      <w:r>
        <w:rPr>
          <w:sz w:val="22"/>
          <w:szCs w:val="22"/>
        </w:rPr>
        <w:t xml:space="preserve">Each site takes in seawater, desalinates it first (salt water cannot enter the HTGR or HTSE systems), then uses the ultra-pure water to produce hydrogen, oxygen, district heat, and zero-waste brine products. Under normal operation, all generated electricity is consumed on-site, powering hydrogen production. Grid electricity is only provided when Safe-Flex activates during renewable shortfalls. It is not a power station. It is a hydrogen factory with a built-in grid safety valve.</w:t>
      </w:r>
    </w:p>
    <w:p>
      <w:pPr>
        <w:pStyle w:val="ListParagraph"/>
        <w:numPr>
          <w:ilvl w:val="0"/>
          <w:numId w:val="1"/>
        </w:numPr>
        <w:spacing w:after="120" w:line="280"/>
      </w:pPr>
      <w:r>
        <w:rPr>
          <w:sz w:val="22"/>
          <w:szCs w:val="22"/>
        </w:rPr>
        <w:t xml:space="preserve">Step 1 — Seawater In, Desalination: Four desalination units strip salt from seawater — one dedicated to hydrogen production, one held as a strategic drought reserve, and two flexible units sized to site-specific needs such as food production or industrial process water, with built-in headroom so a heavier-demand site never needs a costly retrofit. Brine is not wasted — it becomes de-icer and chemical feedstock.</w:t>
      </w:r>
    </w:p>
    <w:p>
      <w:pPr>
        <w:pStyle w:val="ListParagraph"/>
        <w:numPr>
          <w:ilvl w:val="0"/>
          <w:numId w:val="1"/>
        </w:numPr>
        <w:spacing w:after="120" w:line="280"/>
      </w:pPr>
      <w:r>
        <w:rPr>
          <w:sz w:val="22"/>
          <w:szCs w:val="22"/>
        </w:rPr>
        <w:t xml:space="preserve">Step 2 — The Reactors Generate Heat: 48 HTGR modules heat helium gas to around 750°C. Small, modular, and passively safe — they cool themselves if anything goes wrong, with no human intervention needed.</w:t>
      </w:r>
    </w:p>
    <w:p>
      <w:pPr>
        <w:pStyle w:val="ListParagraph"/>
        <w:numPr>
          <w:ilvl w:val="0"/>
          <w:numId w:val="1"/>
        </w:numPr>
        <w:spacing w:after="120" w:line="280"/>
      </w:pPr>
      <w:r>
        <w:rPr>
          <w:sz w:val="22"/>
          <w:szCs w:val="22"/>
        </w:rPr>
        <w:t xml:space="preserve">Step 3 — Heat Splits Water into Hydrogen and Oxygen: 750°C heat drives 44 HTSE banks. Pure water plus extreme heat produces roughly 2,072 tonnes of green hydrogen per day, plus ~16,500 tonnes of oxygen.</w:t>
      </w:r>
    </w:p>
    <w:p>
      <w:pPr>
        <w:pStyle w:val="ListParagraph"/>
        <w:numPr>
          <w:ilvl w:val="0"/>
          <w:numId w:val="1"/>
        </w:numPr>
        <w:spacing w:after="120" w:line="280"/>
      </w:pPr>
      <w:r>
        <w:rPr>
          <w:sz w:val="22"/>
          <w:szCs w:val="22"/>
        </w:rPr>
        <w:t xml:space="preserve">Step 4 — Hydrogen Goes to Work: Heavy industry, fertiliser production, transport fuel, strategic storage, and export.</w:t>
      </w:r>
    </w:p>
    <w:p>
      <w:pPr>
        <w:pStyle w:val="ListParagraph"/>
        <w:numPr>
          <w:ilvl w:val="0"/>
          <w:numId w:val="1"/>
        </w:numPr>
        <w:spacing w:after="120" w:line="280"/>
      </w:pPr>
      <w:r>
        <w:rPr>
          <w:sz w:val="22"/>
          <w:szCs w:val="22"/>
        </w:rPr>
        <w:t xml:space="preserve">Step 5 — Oxygen, the Captured Co-Product: Steel production, medical oxygen, semiconductor manufacturing, water treatment, aquaculture, and more — ten separate revenue streams from a single co-product every other electrolysis plant on Earth throws away.</w:t>
      </w:r>
    </w:p>
    <w:p>
      <w:pPr>
        <w:pStyle w:val="ListParagraph"/>
        <w:numPr>
          <w:ilvl w:val="0"/>
          <w:numId w:val="1"/>
        </w:numPr>
        <w:spacing w:after="120" w:line="280"/>
      </w:pPr>
      <w:r>
        <w:rPr>
          <w:sz w:val="22"/>
          <w:szCs w:val="22"/>
        </w:rPr>
        <w:t xml:space="preserve">Step 6 — The Heat Halo: Residual heat, instead of being dumped into the sea, flows through insulated pipes to nearby homes — unlimited central heating and hot water for a flat £500 a year, up to 280,000 homes per site.</w:t>
      </w:r>
    </w:p>
    <w:p>
      <w:pPr>
        <w:pStyle w:val="ListParagraph"/>
        <w:numPr>
          <w:ilvl w:val="0"/>
          <w:numId w:val="1"/>
        </w:numPr>
        <w:spacing w:after="120" w:line="280"/>
      </w:pPr>
      <w:r>
        <w:rPr>
          <w:sz w:val="22"/>
          <w:szCs w:val="22"/>
        </w:rPr>
        <w:t xml:space="preserve">Step 7 — Safe-Flex: When renewables underperform, operators dial down hydrogen production and divert up to 1.8 GW per site to the national grid — a continuous, granular, geographically targeted response, not an on/off switch.</w:t>
      </w:r>
    </w:p>
    <w:p>
      <w:pPr>
        <w:pStyle w:val="ListParagraph"/>
        <w:numPr>
          <w:ilvl w:val="0"/>
          <w:numId w:val="1"/>
        </w:numPr>
        <w:spacing w:after="120" w:line="280"/>
      </w:pPr>
      <w:r>
        <w:rPr>
          <w:sz w:val="22"/>
          <w:szCs w:val="22"/>
        </w:rPr>
        <w:t xml:space="preserve">Step 8 — Strategic Reserve: An independent standby water supply, held apart from every other duty on-site, activated during droughts, water emergencies, or infrastructure failures — a regional water security asset separate from the mains network.</w:t>
      </w:r>
    </w:p>
    <w:p>
      <w:pPr>
        <w:pStyle w:val="Heading2"/>
        <w:spacing w:after="160" w:before="300"/>
      </w:pPr>
      <w:bookmarkStart w:name="ch2b" w:id="1"/>
      <w:r>
        <w:rPr>
          <w:b/>
          <w:bCs/>
          <w:color w:val="1B2A4A"/>
        </w:rPr>
        <w:t xml:space="preserve">2b. What One Site Delivers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Output</w:t>
            </w:r>
          </w:p>
        </w:tc>
        <w:tc>
          <w:tcPr>
            <w:tcW w:type="pct" w:w="33%"/>
            <w:shd w:fill="1B2A4A" w:val="clear"/>
            <w:tcMar>
              <w:top w:type="dxa" w:w="80"/>
              <w:left w:type="dxa" w:w="100"/>
              <w:bottom w:type="dxa" w:w="80"/>
              <w:right w:type="dxa" w:w="100"/>
            </w:tcMar>
          </w:tcPr>
          <w:p>
            <w:r>
              <w:rPr>
                <w:b/>
                <w:bCs/>
                <w:color w:val="FFFFFF"/>
                <w:sz w:val="19"/>
                <w:szCs w:val="19"/>
              </w:rPr>
              <w:t xml:space="preserve">Per Site</w:t>
            </w:r>
          </w:p>
        </w:tc>
        <w:tc>
          <w:tcPr>
            <w:tcW w:type="pct" w:w="33%"/>
            <w:shd w:fill="1B2A4A" w:val="clear"/>
            <w:tcMar>
              <w:top w:type="dxa" w:w="80"/>
              <w:left w:type="dxa" w:w="100"/>
              <w:bottom w:type="dxa" w:w="80"/>
              <w:right w:type="dxa" w:w="100"/>
            </w:tcMar>
          </w:tcPr>
          <w:p>
            <w:r>
              <w:rPr>
                <w:b/>
                <w:bCs/>
                <w:color w:val="FFFFFF"/>
                <w:sz w:val="19"/>
                <w:szCs w:val="19"/>
              </w:rPr>
              <w:t xml:space="preserve">Full 28-Site Programme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HTGR Modules</w:t>
            </w:r>
          </w:p>
        </w:tc>
        <w:tc>
          <w:tcPr>
            <w:tcW w:type="pct" w:w="33%"/>
            <w:tcMar>
              <w:top w:type="dxa" w:w="80"/>
              <w:left w:type="dxa" w:w="100"/>
              <w:bottom w:type="dxa" w:w="80"/>
              <w:right w:type="dxa" w:w="100"/>
            </w:tcMar>
          </w:tcPr>
          <w:p>
            <w:r>
              <w:rPr>
                <w:b w:val="false"/>
                <w:bCs w:val="false"/>
                <w:color w:val="000000"/>
                <w:sz w:val="19"/>
                <w:szCs w:val="19"/>
              </w:rPr>
              <w:t xml:space="preserve">48</w:t>
            </w:r>
          </w:p>
        </w:tc>
        <w:tc>
          <w:tcPr>
            <w:tcW w:type="pct" w:w="33%"/>
            <w:tcMar>
              <w:top w:type="dxa" w:w="80"/>
              <w:left w:type="dxa" w:w="100"/>
              <w:bottom w:type="dxa" w:w="80"/>
              <w:right w:type="dxa" w:w="100"/>
            </w:tcMar>
          </w:tcPr>
          <w:p>
            <w:r>
              <w:rPr>
                <w:b w:val="false"/>
                <w:bCs w:val="false"/>
                <w:color w:val="000000"/>
                <w:sz w:val="19"/>
                <w:szCs w:val="19"/>
              </w:rPr>
              <w:t xml:space="preserve">1,344</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Electricity</w:t>
            </w:r>
          </w:p>
        </w:tc>
        <w:tc>
          <w:tcPr>
            <w:tcW w:type="pct" w:w="33%"/>
            <w:tcMar>
              <w:top w:type="dxa" w:w="80"/>
              <w:left w:type="dxa" w:w="100"/>
              <w:bottom w:type="dxa" w:w="80"/>
              <w:right w:type="dxa" w:w="100"/>
            </w:tcMar>
          </w:tcPr>
          <w:p>
            <w:r>
              <w:rPr>
                <w:b w:val="false"/>
                <w:bCs w:val="false"/>
                <w:color w:val="000000"/>
                <w:sz w:val="19"/>
                <w:szCs w:val="19"/>
              </w:rPr>
              <w:t xml:space="preserve">3.6 GWe gross (3.62 GWe net)</w:t>
            </w:r>
          </w:p>
        </w:tc>
        <w:tc>
          <w:tcPr>
            <w:tcW w:type="pct" w:w="33%"/>
            <w:tcMar>
              <w:top w:type="dxa" w:w="80"/>
              <w:left w:type="dxa" w:w="100"/>
              <w:bottom w:type="dxa" w:w="80"/>
              <w:right w:type="dxa" w:w="100"/>
            </w:tcMar>
          </w:tcPr>
          <w:p>
            <w:r>
              <w:rPr>
                <w:b w:val="false"/>
                <w:bCs w:val="false"/>
                <w:color w:val="000000"/>
                <w:sz w:val="19"/>
                <w:szCs w:val="19"/>
              </w:rPr>
              <w:t xml:space="preserve">101.3 GWe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Green Hydrogen</w:t>
            </w:r>
          </w:p>
        </w:tc>
        <w:tc>
          <w:tcPr>
            <w:tcW w:type="pct" w:w="33%"/>
            <w:tcMar>
              <w:top w:type="dxa" w:w="80"/>
              <w:left w:type="dxa" w:w="100"/>
              <w:bottom w:type="dxa" w:w="80"/>
              <w:right w:type="dxa" w:w="100"/>
            </w:tcMar>
          </w:tcPr>
          <w:p>
            <w:r>
              <w:rPr>
                <w:b w:val="false"/>
                <w:bCs w:val="false"/>
                <w:color w:val="000000"/>
                <w:sz w:val="19"/>
                <w:szCs w:val="19"/>
              </w:rPr>
              <w:t xml:space="preserve">2,072 tonnes/day</w:t>
            </w:r>
          </w:p>
        </w:tc>
        <w:tc>
          <w:tcPr>
            <w:tcW w:type="pct" w:w="33%"/>
            <w:tcMar>
              <w:top w:type="dxa" w:w="80"/>
              <w:left w:type="dxa" w:w="100"/>
              <w:bottom w:type="dxa" w:w="80"/>
              <w:right w:type="dxa" w:w="100"/>
            </w:tcMar>
          </w:tcPr>
          <w:p>
            <w:r>
              <w:rPr>
                <w:b w:val="false"/>
                <w:bCs w:val="false"/>
                <w:color w:val="000000"/>
                <w:sz w:val="19"/>
                <w:szCs w:val="19"/>
              </w:rPr>
              <w:t xml:space="preserve">21.2 Mt/year</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Oxygen</w:t>
            </w:r>
          </w:p>
        </w:tc>
        <w:tc>
          <w:tcPr>
            <w:tcW w:type="pct" w:w="33%"/>
            <w:tcMar>
              <w:top w:type="dxa" w:w="80"/>
              <w:left w:type="dxa" w:w="100"/>
              <w:bottom w:type="dxa" w:w="80"/>
              <w:right w:type="dxa" w:w="100"/>
            </w:tcMar>
          </w:tcPr>
          <w:p>
            <w:r>
              <w:rPr>
                <w:b w:val="false"/>
                <w:bCs w:val="false"/>
                <w:color w:val="000000"/>
                <w:sz w:val="19"/>
                <w:szCs w:val="19"/>
              </w:rPr>
              <w:t xml:space="preserve">~16,500 tonnes/day</w:t>
            </w:r>
          </w:p>
        </w:tc>
        <w:tc>
          <w:tcPr>
            <w:tcW w:type="pct" w:w="33%"/>
            <w:tcMar>
              <w:top w:type="dxa" w:w="80"/>
              <w:left w:type="dxa" w:w="100"/>
              <w:bottom w:type="dxa" w:w="80"/>
              <w:right w:type="dxa" w:w="100"/>
            </w:tcMar>
          </w:tcPr>
          <w:p>
            <w:r>
              <w:rPr>
                <w:b w:val="false"/>
                <w:bCs w:val="false"/>
                <w:color w:val="000000"/>
                <w:sz w:val="19"/>
                <w:szCs w:val="19"/>
              </w:rPr>
              <w:t xml:space="preserve">~462,000 tonnes/day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Desalinated Water (strategic reserve)</w:t>
            </w:r>
          </w:p>
        </w:tc>
        <w:tc>
          <w:tcPr>
            <w:tcW w:type="pct" w:w="33%"/>
            <w:tcMar>
              <w:top w:type="dxa" w:w="80"/>
              <w:left w:type="dxa" w:w="100"/>
              <w:bottom w:type="dxa" w:w="80"/>
              <w:right w:type="dxa" w:w="100"/>
            </w:tcMar>
          </w:tcPr>
          <w:p>
            <w:r>
              <w:rPr>
                <w:b w:val="false"/>
                <w:bCs w:val="false"/>
                <w:color w:val="000000"/>
                <w:sz w:val="19"/>
                <w:szCs w:val="19"/>
              </w:rPr>
              <w:t xml:space="preserve">50,000 m³/day</w:t>
            </w:r>
          </w:p>
        </w:tc>
        <w:tc>
          <w:tcPr>
            <w:tcW w:type="pct" w:w="33%"/>
            <w:tcMar>
              <w:top w:type="dxa" w:w="80"/>
              <w:left w:type="dxa" w:w="100"/>
              <w:bottom w:type="dxa" w:w="80"/>
              <w:right w:type="dxa" w:w="100"/>
            </w:tcMar>
          </w:tcPr>
          <w:p>
            <w:r>
              <w:rPr>
                <w:b w:val="false"/>
                <w:bCs w:val="false"/>
                <w:color w:val="000000"/>
                <w:sz w:val="19"/>
                <w:szCs w:val="19"/>
              </w:rPr>
              <w:t xml:space="preserve">1.4 million m³/day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District Heating</w:t>
            </w:r>
          </w:p>
        </w:tc>
        <w:tc>
          <w:tcPr>
            <w:tcW w:type="pct" w:w="33%"/>
            <w:tcMar>
              <w:top w:type="dxa" w:w="80"/>
              <w:left w:type="dxa" w:w="100"/>
              <w:bottom w:type="dxa" w:w="80"/>
              <w:right w:type="dxa" w:w="100"/>
            </w:tcMar>
          </w:tcPr>
          <w:p>
            <w:r>
              <w:rPr>
                <w:b w:val="false"/>
                <w:bCs w:val="false"/>
                <w:color w:val="000000"/>
                <w:sz w:val="19"/>
                <w:szCs w:val="19"/>
              </w:rPr>
              <w:t xml:space="preserve">£500/yr, ~280,000 homes</w:t>
            </w:r>
          </w:p>
        </w:tc>
        <w:tc>
          <w:tcPr>
            <w:tcW w:type="pct" w:w="33%"/>
            <w:tcMar>
              <w:top w:type="dxa" w:w="80"/>
              <w:left w:type="dxa" w:w="100"/>
              <w:bottom w:type="dxa" w:w="80"/>
              <w:right w:type="dxa" w:w="100"/>
            </w:tcMar>
          </w:tcPr>
          <w:p>
            <w:r>
              <w:rPr>
                <w:b w:val="false"/>
                <w:bCs w:val="false"/>
                <w:color w:val="000000"/>
                <w:sz w:val="19"/>
                <w:szCs w:val="19"/>
              </w:rPr>
              <w:t xml:space="preserve">7.84 million homes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UK Jobs</w:t>
            </w:r>
          </w:p>
        </w:tc>
        <w:tc>
          <w:tcPr>
            <w:tcW w:type="pct" w:w="33%"/>
            <w:tcMar>
              <w:top w:type="dxa" w:w="80"/>
              <w:left w:type="dxa" w:w="100"/>
              <w:bottom w:type="dxa" w:w="80"/>
              <w:right w:type="dxa" w:w="100"/>
            </w:tcMar>
          </w:tcPr>
          <w:p>
            <w:r>
              <w:rPr>
                <w:b w:val="false"/>
                <w:bCs w:val="false"/>
                <w:color w:val="000000"/>
                <w:sz w:val="19"/>
                <w:szCs w:val="19"/>
              </w:rPr>
              <w:t xml:space="preserve">~18,000 per site</w:t>
            </w:r>
          </w:p>
        </w:tc>
        <w:tc>
          <w:tcPr>
            <w:tcW w:type="pct" w:w="33%"/>
            <w:tcMar>
              <w:top w:type="dxa" w:w="80"/>
              <w:left w:type="dxa" w:w="100"/>
              <w:bottom w:type="dxa" w:w="80"/>
              <w:right w:type="dxa" w:w="100"/>
            </w:tcMar>
          </w:tcPr>
          <w:p>
            <w:r>
              <w:rPr>
                <w:b w:val="false"/>
                <w:bCs w:val="false"/>
                <w:color w:val="000000"/>
                <w:sz w:val="19"/>
                <w:szCs w:val="19"/>
              </w:rPr>
              <w:t xml:space="preserve">~500,000 across the fleet</w:t>
            </w:r>
          </w:p>
        </w:tc>
      </w:tr>
    </w:tbl>
    <w:p>
      <w:pPr>
        <w:spacing w:after="200"/>
      </w:pPr>
    </w:p>
    <w:p>
      <w:pPr>
        <w:spacing w:after="200" w:line="300"/>
      </w:pPr>
      <w:r>
        <w:rPr>
          <w:sz w:val="22"/>
          <w:szCs w:val="22"/>
        </w:rPr>
        <w:t xml:space="preserve">Under normal operation none of a site's electricity goes to the grid — the UK grid is run day-to-day by wind, solar, Hinkley Point C, and Sizewell C. Safe-Flex exists purely as an emergency valve for when those sources fail.</w:t>
      </w:r>
    </w:p>
    <w:p>
      <w:pPr>
        <w:pStyle w:val="Heading2"/>
        <w:spacing w:after="160" w:before="300"/>
      </w:pPr>
      <w:bookmarkStart w:name="ch2c" w:id="1"/>
      <w:r>
        <w:rPr>
          <w:b/>
          <w:bCs/>
          <w:color w:val="1B2A4A"/>
        </w:rPr>
        <w:t xml:space="preserve">2c. The Fleet Effect</w:t>
      </w:r>
      <w:bookmarkEnd w:id="1"/>
    </w:p>
    <w:p>
      <w:pPr>
        <w:spacing w:after="200" w:line="300"/>
      </w:pPr>
      <w:r>
        <w:rPr>
          <w:sz w:val="22"/>
          <w:szCs w:val="22"/>
        </w:rPr>
        <w:t xml:space="preserve">The UK government's own Fingleton Review found Britain is “the most expensive place in the world to build nuclear” because of bespoke, one-off megaprojects. CFF is the fix.</w:t>
      </w:r>
    </w:p>
    <w:p>
      <w:pPr>
        <w:pStyle w:val="ListParagraph"/>
        <w:numPr>
          <w:ilvl w:val="0"/>
          <w:numId w:val="1"/>
        </w:numPr>
        <w:spacing w:after="120" w:line="280"/>
      </w:pPr>
      <w:r>
        <w:rPr>
          <w:sz w:val="22"/>
          <w:szCs w:val="22"/>
        </w:rPr>
        <w:t xml:space="preserve">48 identical modules per site — not one bespoke reactor. Factory-built HTGR modules in eight six-packs, every one the same. Perfect for production-line manufacturing.</w:t>
      </w:r>
    </w:p>
    <w:p>
      <w:pPr>
        <w:pStyle w:val="ListParagraph"/>
        <w:numPr>
          <w:ilvl w:val="0"/>
          <w:numId w:val="1"/>
        </w:numPr>
        <w:spacing w:after="120" w:line="280"/>
      </w:pPr>
      <w:r>
        <w:rPr>
          <w:sz w:val="22"/>
          <w:szCs w:val="22"/>
        </w:rPr>
        <w:t xml:space="preserve">1,344 modules across the full fleet — 28 sites × 48 modules. The more you build, the faster and cheaper each one gets. This is the Fleet Effect — the same principle that made Toyota, Samsung, and COSCO world leaders.</w:t>
      </w:r>
    </w:p>
    <w:p>
      <w:pPr>
        <w:pStyle w:val="ListParagraph"/>
        <w:numPr>
          <w:ilvl w:val="0"/>
          <w:numId w:val="1"/>
        </w:numPr>
        <w:spacing w:after="120" w:line="280"/>
      </w:pPr>
      <w:r>
        <w:rPr>
          <w:sz w:val="22"/>
          <w:szCs w:val="22"/>
        </w:rPr>
        <w:t xml:space="preserve">28 identical coastal sites — same layout, same systems, same supply chain. Lessons from Site 1 make Site 2 faster. By Site 10, construction runs at industrial tempo.</w:t>
      </w:r>
    </w:p>
    <w:p>
      <w:pPr>
        <w:spacing w:after="200" w:line="300"/>
      </w:pPr>
      <w:r>
        <w:rPr>
          <w:sz w:val="22"/>
          <w:szCs w:val="22"/>
        </w:rPr>
        <w:t xml:space="preserve">Japan understood this with cars. Korea understood it with shipbuilding. China understands it with HTGRs today. Britain understood it during the industrial revolution — and then forgot. CFF is how Britain remembers.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shd w:fill="1B2A4A" w:val="clear"/>
            <w:tcMar>
              <w:top w:type="dxa" w:w="80"/>
              <w:left w:type="dxa" w:w="100"/>
              <w:bottom w:type="dxa" w:w="80"/>
              <w:right w:type="dxa" w:w="100"/>
            </w:tcMar>
          </w:tcPr>
          <w:p>
            <w:r>
              <w:rPr>
                <w:b/>
                <w:bCs/>
                <w:color w:val="FFFFFF"/>
                <w:sz w:val="19"/>
                <w:szCs w:val="19"/>
              </w:rPr>
              <w:t xml:space="preserve">Site</w:t>
            </w:r>
          </w:p>
        </w:tc>
        <w:tc>
          <w:tcPr>
            <w:tcW w:type="pct" w:w="20%"/>
            <w:shd w:fill="1B2A4A" w:val="clear"/>
            <w:tcMar>
              <w:top w:type="dxa" w:w="80"/>
              <w:left w:type="dxa" w:w="100"/>
              <w:bottom w:type="dxa" w:w="80"/>
              <w:right w:type="dxa" w:w="100"/>
            </w:tcMar>
          </w:tcPr>
          <w:p>
            <w:r>
              <w:rPr>
                <w:b/>
                <w:bCs/>
                <w:color w:val="FFFFFF"/>
                <w:sz w:val="19"/>
                <w:szCs w:val="19"/>
              </w:rPr>
              <w:t xml:space="preserve">Land Area</w:t>
            </w:r>
          </w:p>
        </w:tc>
        <w:tc>
          <w:tcPr>
            <w:tcW w:type="pct" w:w="20%"/>
            <w:shd w:fill="1B2A4A" w:val="clear"/>
            <w:tcMar>
              <w:top w:type="dxa" w:w="80"/>
              <w:left w:type="dxa" w:w="100"/>
              <w:bottom w:type="dxa" w:w="80"/>
              <w:right w:type="dxa" w:w="100"/>
            </w:tcMar>
          </w:tcPr>
          <w:p>
            <w:r>
              <w:rPr>
                <w:b/>
                <w:bCs/>
                <w:color w:val="FFFFFF"/>
                <w:sz w:val="19"/>
                <w:szCs w:val="19"/>
              </w:rPr>
              <w:t xml:space="preserve">Electricity</w:t>
            </w:r>
          </w:p>
        </w:tc>
        <w:tc>
          <w:tcPr>
            <w:tcW w:type="pct" w:w="20%"/>
            <w:shd w:fill="1B2A4A" w:val="clear"/>
            <w:tcMar>
              <w:top w:type="dxa" w:w="80"/>
              <w:left w:type="dxa" w:w="100"/>
              <w:bottom w:type="dxa" w:w="80"/>
              <w:right w:type="dxa" w:w="100"/>
            </w:tcMar>
          </w:tcPr>
          <w:p>
            <w:r>
              <w:rPr>
                <w:b/>
                <w:bCs/>
                <w:color w:val="FFFFFF"/>
                <w:sz w:val="19"/>
                <w:szCs w:val="19"/>
              </w:rPr>
              <w:t xml:space="preserve">MWe per Hectare</w:t>
            </w:r>
          </w:p>
        </w:tc>
        <w:tc>
          <w:tcPr>
            <w:tcW w:type="pct" w:w="20%"/>
            <w:shd w:fill="1B2A4A" w:val="clear"/>
            <w:tcMar>
              <w:top w:type="dxa" w:w="80"/>
              <w:left w:type="dxa" w:w="100"/>
              <w:bottom w:type="dxa" w:w="80"/>
              <w:right w:type="dxa" w:w="100"/>
            </w:tcMar>
          </w:tcPr>
          <w:p>
            <w:r>
              <w:rPr>
                <w:b/>
                <w:bCs/>
                <w:color w:val="FFFFFF"/>
                <w:sz w:val="19"/>
                <w:szCs w:val="19"/>
              </w:rPr>
              <w:t xml:space="preserve">Other Outputs</w:t>
            </w:r>
          </w:p>
        </w:tc>
      </w:tr>
      <w:tr>
        <w:trPr>
          <w:cantSplit/>
        </w:trPr>
        <w:tc>
          <w:tcPr>
            <w:tcW w:type="pct" w:w="20%"/>
            <w:tcMar>
              <w:top w:type="dxa" w:w="80"/>
              <w:left w:type="dxa" w:w="100"/>
              <w:bottom w:type="dxa" w:w="80"/>
              <w:right w:type="dxa" w:w="100"/>
            </w:tcMar>
          </w:tcPr>
          <w:p>
            <w:r>
              <w:rPr>
                <w:b w:val="false"/>
                <w:bCs w:val="false"/>
                <w:color w:val="000000"/>
                <w:sz w:val="19"/>
                <w:szCs w:val="19"/>
              </w:rPr>
              <w:t xml:space="preserve">One CFF Site</w:t>
            </w:r>
          </w:p>
        </w:tc>
        <w:tc>
          <w:tcPr>
            <w:tcW w:type="pct" w:w="20%"/>
            <w:tcMar>
              <w:top w:type="dxa" w:w="80"/>
              <w:left w:type="dxa" w:w="100"/>
              <w:bottom w:type="dxa" w:w="80"/>
              <w:right w:type="dxa" w:w="100"/>
            </w:tcMar>
          </w:tcPr>
          <w:p>
            <w:r>
              <w:rPr>
                <w:b w:val="false"/>
                <w:bCs w:val="false"/>
                <w:color w:val="000000"/>
                <w:sz w:val="19"/>
                <w:szCs w:val="19"/>
              </w:rPr>
              <w:t xml:space="preserve">55 ha (136 acres)</w:t>
            </w:r>
          </w:p>
        </w:tc>
        <w:tc>
          <w:tcPr>
            <w:tcW w:type="pct" w:w="20%"/>
            <w:tcMar>
              <w:top w:type="dxa" w:w="80"/>
              <w:left w:type="dxa" w:w="100"/>
              <w:bottom w:type="dxa" w:w="80"/>
              <w:right w:type="dxa" w:w="100"/>
            </w:tcMar>
          </w:tcPr>
          <w:p>
            <w:r>
              <w:rPr>
                <w:b w:val="false"/>
                <w:bCs w:val="false"/>
                <w:color w:val="000000"/>
                <w:sz w:val="19"/>
                <w:szCs w:val="19"/>
              </w:rPr>
              <w:t xml:space="preserve">3,600 MWe</w:t>
            </w:r>
          </w:p>
        </w:tc>
        <w:tc>
          <w:tcPr>
            <w:tcW w:type="pct" w:w="20%"/>
            <w:tcMar>
              <w:top w:type="dxa" w:w="80"/>
              <w:left w:type="dxa" w:w="100"/>
              <w:bottom w:type="dxa" w:w="80"/>
              <w:right w:type="dxa" w:w="100"/>
            </w:tcMar>
          </w:tcPr>
          <w:p>
            <w:r>
              <w:rPr>
                <w:b w:val="false"/>
                <w:bCs w:val="false"/>
                <w:color w:val="000000"/>
                <w:sz w:val="19"/>
                <w:szCs w:val="19"/>
              </w:rPr>
              <w:t xml:space="preserve">65.5</w:t>
            </w:r>
          </w:p>
        </w:tc>
        <w:tc>
          <w:tcPr>
            <w:tcW w:type="pct" w:w="20%"/>
            <w:tcMar>
              <w:top w:type="dxa" w:w="80"/>
              <w:left w:type="dxa" w:w="100"/>
              <w:bottom w:type="dxa" w:w="80"/>
              <w:right w:type="dxa" w:w="100"/>
            </w:tcMar>
          </w:tcPr>
          <w:p>
            <w:r>
              <w:rPr>
                <w:b w:val="false"/>
                <w:bCs w:val="false"/>
                <w:color w:val="000000"/>
                <w:sz w:val="19"/>
                <w:szCs w:val="19"/>
              </w:rPr>
              <w:t xml:space="preserve">+ H₂, water, heating, industrial</w:t>
            </w:r>
          </w:p>
        </w:tc>
      </w:tr>
      <w:tr>
        <w:trPr>
          <w:cantSplit/>
        </w:trPr>
        <w:tc>
          <w:tcPr>
            <w:tcW w:type="pct" w:w="20%"/>
            <w:tcMar>
              <w:top w:type="dxa" w:w="80"/>
              <w:left w:type="dxa" w:w="100"/>
              <w:bottom w:type="dxa" w:w="80"/>
              <w:right w:type="dxa" w:w="100"/>
            </w:tcMar>
          </w:tcPr>
          <w:p>
            <w:r>
              <w:rPr>
                <w:b w:val="false"/>
                <w:bCs w:val="false"/>
                <w:color w:val="000000"/>
                <w:sz w:val="19"/>
                <w:szCs w:val="19"/>
              </w:rPr>
              <w:t xml:space="preserve">Hinkley Point C</w:t>
            </w:r>
          </w:p>
        </w:tc>
        <w:tc>
          <w:tcPr>
            <w:tcW w:type="pct" w:w="20%"/>
            <w:tcMar>
              <w:top w:type="dxa" w:w="80"/>
              <w:left w:type="dxa" w:w="100"/>
              <w:bottom w:type="dxa" w:w="80"/>
              <w:right w:type="dxa" w:w="100"/>
            </w:tcMar>
          </w:tcPr>
          <w:p>
            <w:r>
              <w:rPr>
                <w:b w:val="false"/>
                <w:bCs w:val="false"/>
                <w:color w:val="000000"/>
                <w:sz w:val="19"/>
                <w:szCs w:val="19"/>
              </w:rPr>
              <w:t xml:space="preserve">175 ha (430 acres)</w:t>
            </w:r>
          </w:p>
        </w:tc>
        <w:tc>
          <w:tcPr>
            <w:tcW w:type="pct" w:w="20%"/>
            <w:tcMar>
              <w:top w:type="dxa" w:w="80"/>
              <w:left w:type="dxa" w:w="100"/>
              <w:bottom w:type="dxa" w:w="80"/>
              <w:right w:type="dxa" w:w="100"/>
            </w:tcMar>
          </w:tcPr>
          <w:p>
            <w:r>
              <w:rPr>
                <w:b w:val="false"/>
                <w:bCs w:val="false"/>
                <w:color w:val="000000"/>
                <w:sz w:val="19"/>
                <w:szCs w:val="19"/>
              </w:rPr>
              <w:t xml:space="preserve">3,260 MWe</w:t>
            </w:r>
          </w:p>
        </w:tc>
        <w:tc>
          <w:tcPr>
            <w:tcW w:type="pct" w:w="20%"/>
            <w:tcMar>
              <w:top w:type="dxa" w:w="80"/>
              <w:left w:type="dxa" w:w="100"/>
              <w:bottom w:type="dxa" w:w="80"/>
              <w:right w:type="dxa" w:w="100"/>
            </w:tcMar>
          </w:tcPr>
          <w:p>
            <w:r>
              <w:rPr>
                <w:b w:val="false"/>
                <w:bCs w:val="false"/>
                <w:color w:val="000000"/>
                <w:sz w:val="19"/>
                <w:szCs w:val="19"/>
              </w:rPr>
              <w:t xml:space="preserve">18.6</w:t>
            </w:r>
          </w:p>
        </w:tc>
        <w:tc>
          <w:tcPr>
            <w:tcW w:type="pct" w:w="20%"/>
            <w:tcMar>
              <w:top w:type="dxa" w:w="80"/>
              <w:left w:type="dxa" w:w="100"/>
              <w:bottom w:type="dxa" w:w="80"/>
              <w:right w:type="dxa" w:w="100"/>
            </w:tcMar>
          </w:tcPr>
          <w:p>
            <w:r>
              <w:rPr>
                <w:b w:val="false"/>
                <w:bCs w:val="false"/>
                <w:color w:val="000000"/>
                <w:sz w:val="19"/>
                <w:szCs w:val="19"/>
              </w:rPr>
              <w:t xml:space="preserve">Electricity only</w:t>
            </w:r>
          </w:p>
        </w:tc>
      </w:tr>
      <w:tr>
        <w:trPr>
          <w:cantSplit/>
        </w:trPr>
        <w:tc>
          <w:tcPr>
            <w:tcW w:type="pct" w:w="20%"/>
            <w:tcMar>
              <w:top w:type="dxa" w:w="80"/>
              <w:left w:type="dxa" w:w="100"/>
              <w:bottom w:type="dxa" w:w="80"/>
              <w:right w:type="dxa" w:w="100"/>
            </w:tcMar>
          </w:tcPr>
          <w:p>
            <w:r>
              <w:rPr>
                <w:b w:val="false"/>
                <w:bCs w:val="false"/>
                <w:color w:val="000000"/>
                <w:sz w:val="19"/>
                <w:szCs w:val="19"/>
              </w:rPr>
              <w:t xml:space="preserve">Sizewell C</w:t>
            </w:r>
          </w:p>
        </w:tc>
        <w:tc>
          <w:tcPr>
            <w:tcW w:type="pct" w:w="20%"/>
            <w:tcMar>
              <w:top w:type="dxa" w:w="80"/>
              <w:left w:type="dxa" w:w="100"/>
              <w:bottom w:type="dxa" w:w="80"/>
              <w:right w:type="dxa" w:w="100"/>
            </w:tcMar>
          </w:tcPr>
          <w:p>
            <w:r>
              <w:rPr>
                <w:b w:val="false"/>
                <w:bCs w:val="false"/>
                <w:color w:val="000000"/>
                <w:sz w:val="19"/>
                <w:szCs w:val="19"/>
              </w:rPr>
              <w:t xml:space="preserve">362 ha (895 acres)</w:t>
            </w:r>
          </w:p>
        </w:tc>
        <w:tc>
          <w:tcPr>
            <w:tcW w:type="pct" w:w="20%"/>
            <w:tcMar>
              <w:top w:type="dxa" w:w="80"/>
              <w:left w:type="dxa" w:w="100"/>
              <w:bottom w:type="dxa" w:w="80"/>
              <w:right w:type="dxa" w:w="100"/>
            </w:tcMar>
          </w:tcPr>
          <w:p>
            <w:r>
              <w:rPr>
                <w:b w:val="false"/>
                <w:bCs w:val="false"/>
                <w:color w:val="000000"/>
                <w:sz w:val="19"/>
                <w:szCs w:val="19"/>
              </w:rPr>
              <w:t xml:space="preserve">3,200 MWe</w:t>
            </w:r>
          </w:p>
        </w:tc>
        <w:tc>
          <w:tcPr>
            <w:tcW w:type="pct" w:w="20%"/>
            <w:tcMar>
              <w:top w:type="dxa" w:w="80"/>
              <w:left w:type="dxa" w:w="100"/>
              <w:bottom w:type="dxa" w:w="80"/>
              <w:right w:type="dxa" w:w="100"/>
            </w:tcMar>
          </w:tcPr>
          <w:p>
            <w:r>
              <w:rPr>
                <w:b w:val="false"/>
                <w:bCs w:val="false"/>
                <w:color w:val="000000"/>
                <w:sz w:val="19"/>
                <w:szCs w:val="19"/>
              </w:rPr>
              <w:t xml:space="preserve">8.8</w:t>
            </w:r>
          </w:p>
        </w:tc>
        <w:tc>
          <w:tcPr>
            <w:tcW w:type="pct" w:w="20%"/>
            <w:tcMar>
              <w:top w:type="dxa" w:w="80"/>
              <w:left w:type="dxa" w:w="100"/>
              <w:bottom w:type="dxa" w:w="80"/>
              <w:right w:type="dxa" w:w="100"/>
            </w:tcMar>
          </w:tcPr>
          <w:p>
            <w:r>
              <w:rPr>
                <w:b w:val="false"/>
                <w:bCs w:val="false"/>
                <w:color w:val="000000"/>
                <w:sz w:val="19"/>
                <w:szCs w:val="19"/>
              </w:rPr>
              <w:t xml:space="preserve">Electricity only</w:t>
            </w:r>
          </w:p>
        </w:tc>
      </w:tr>
    </w:tbl>
    <w:p>
      <w:pPr>
        <w:spacing w:after="200"/>
      </w:pPr>
    </w:p>
    <w:p>
      <w:pPr>
        <w:spacing w:after="200" w:line="300"/>
      </w:pPr>
      <w:r>
        <w:rPr>
          <w:sz w:val="22"/>
          <w:szCs w:val="22"/>
        </w:rPr>
        <w:t xml:space="preserve">That is 3.5 times more power per hectare than Hinkley Point C, 7.5 times more than Sizewell C, and over a thousand times more power-dense than solar. The 120-metre earth berm safety perimeter is included within CFF's 55 hectares — there is no additional exclusion zone eating up surrounding land, unlike conventional nuclear plants.</w:t>
      </w:r>
    </w:p>
    <w:p>
      <w:r>
        <w:br w:type="page"/>
      </w:r>
    </w:p>
    <w:p>
      <w:pPr>
        <w:pStyle w:val="Heading1"/>
      </w:pPr>
      <w:bookmarkStart w:name="ch3" w:id="1"/>
      <w:r>
        <w:rPr>
          <w:color w:val="9C7A2E"/>
          <w:sz w:val="22"/>
          <w:szCs w:val="22"/>
        </w:rPr>
        <w:t xml:space="preserve">Chapter 3 — Ownership &amp; Governance</w:t>
      </w:r>
      <w:bookmarkEnd w:id="1"/>
    </w:p>
    <w:p>
      <w:pPr>
        <w:spacing w:after="240" w:before="60"/>
      </w:pPr>
      <w:r>
        <w:rPr>
          <w:b/>
          <w:bCs/>
          <w:color w:val="1B2A4A"/>
          <w:sz w:val="40"/>
          <w:szCs w:val="40"/>
        </w:rPr>
        <w:t xml:space="preserve">Ownership &amp; Governance</w:t>
      </w:r>
    </w:p>
    <w:p>
      <w:pPr>
        <w:spacing w:after="300" w:line="300"/>
      </w:pPr>
      <w:r>
        <w:rPr>
          <w:i/>
          <w:iCs/>
          <w:color w:val="333333"/>
          <w:sz w:val="22"/>
          <w:szCs w:val="22"/>
        </w:rPr>
        <w:t xml:space="preserve">CFF is framed as publicly owned infrastructure — more like a national utility than a privatised market asset. This chapter sets out the sovereign ownership doctrine at the heart of the programme, and how it differs from the government's current public energy company, Great British Energy.</w:t>
      </w:r>
    </w:p>
    <w:p>
      <w:pPr>
        <w:pStyle w:val="Heading2"/>
        <w:spacing w:after="160" w:before="300"/>
      </w:pPr>
      <w:bookmarkStart w:name="ch3a" w:id="1"/>
      <w:r>
        <w:rPr>
          <w:b/>
          <w:bCs/>
          <w:color w:val="1B2A4A"/>
        </w:rPr>
        <w:t xml:space="preserve">3a. The Sovereign Ownership Doctrine</w:t>
      </w:r>
      <w:bookmarkEnd w:id="1"/>
    </w:p>
    <w:p>
      <w:pPr>
        <w:pBdr>
          <w:left w:val="single" w:color="9C7A2E" w:sz="18" w:space="12"/>
        </w:pBdr>
        <w:spacing w:after="200" w:before="160"/>
        <w:ind w:left="500" w:right="500"/>
      </w:pPr>
      <w:r>
        <w:rPr>
          <w:i/>
          <w:iCs/>
          <w:color w:val="333333"/>
          <w:sz w:val="22"/>
          <w:szCs w:val="22"/>
        </w:rPr>
        <w:t xml:space="preserve">“The generation, transmission, pricing, and strategic governance of British energy shall remain exclusively under British state ownership and British public authority. No foreign equity. No foreign board seats. No foreign operating contracts. No foreign pricing power.”</w:t>
      </w:r>
    </w:p>
    <w:p>
      <w:pPr>
        <w:spacing w:after="200" w:line="300"/>
      </w:pPr>
      <w:r>
        <w:rPr>
          <w:sz w:val="22"/>
          <w:szCs w:val="22"/>
        </w:rPr>
        <w:t xml:space="preserve">Sovereign ownership means the United Kingdom state holds final control over the assets that produce, move, sell, and price energy in Britain — not EDF, not Centrica, not Iberdrola, not RWE, not E.ON, not Ørsted, not Equinor. Not foreign shareholders, foreign utilities, foreign state-backed firms, or private intermediaries with leverage over British households and industry.</w:t>
      </w:r>
    </w:p>
    <w:p>
      <w:pPr>
        <w:pStyle w:val="ListParagraph"/>
        <w:numPr>
          <w:ilvl w:val="0"/>
          <w:numId w:val="1"/>
        </w:numPr>
        <w:spacing w:after="120" w:line="280"/>
      </w:pPr>
      <w:r>
        <w:rPr>
          <w:sz w:val="22"/>
          <w:szCs w:val="22"/>
        </w:rPr>
        <w:t xml:space="preserve">Generation: no foreign utility, investor, or contractor should hold a controlling or strategic stake in British power generation.</w:t>
      </w:r>
    </w:p>
    <w:p>
      <w:pPr>
        <w:pStyle w:val="ListParagraph"/>
        <w:numPr>
          <w:ilvl w:val="0"/>
          <w:numId w:val="1"/>
        </w:numPr>
        <w:spacing w:after="120" w:line="280"/>
      </w:pPr>
      <w:r>
        <w:rPr>
          <w:sz w:val="22"/>
          <w:szCs w:val="22"/>
        </w:rPr>
        <w:t xml:space="preserve">Supply / Pricing: no private or foreign-linked supplier should stand between British energy production and the British public.</w:t>
      </w:r>
    </w:p>
    <w:p>
      <w:pPr>
        <w:pStyle w:val="ListParagraph"/>
        <w:numPr>
          <w:ilvl w:val="0"/>
          <w:numId w:val="1"/>
        </w:numPr>
        <w:spacing w:after="120" w:line="280"/>
      </w:pPr>
      <w:r>
        <w:rPr>
          <w:sz w:val="22"/>
          <w:szCs w:val="22"/>
        </w:rPr>
        <w:t xml:space="preserve">Grid / Network: the wires, substations, pipelines, storage, and interconnectors are instruments of state power and must answer to the British state alone.</w:t>
      </w:r>
    </w:p>
    <w:p>
      <w:pPr>
        <w:pStyle w:val="ListParagraph"/>
        <w:numPr>
          <w:ilvl w:val="0"/>
          <w:numId w:val="1"/>
        </w:numPr>
        <w:spacing w:after="120" w:line="280"/>
      </w:pPr>
      <w:r>
        <w:rPr>
          <w:sz w:val="22"/>
          <w:szCs w:val="22"/>
        </w:rPr>
        <w:t xml:space="preserve">Foreign state-linked interests: EDF is tied to the French state, Equinor to Norway, Ørsted to Denmark. British sovereignty cannot rest on assets ultimately shaped elsewhere.</w:t>
      </w:r>
    </w:p>
    <w:p>
      <w:pPr>
        <w:spacing w:after="200" w:line="300"/>
      </w:pPr>
      <w:r>
        <w:rPr>
          <w:sz w:val="22"/>
          <w:szCs w:val="22"/>
        </w:rPr>
        <w:t xml:space="preserve">The doctrine also carries a practical social case: under a sovereign, publicly controlled energy system, targeted winter energy protection for pensioners, low-income families, and other defined vulnerable households could be delivered through the price system itself — rather than through reactive compensation schemes after market-driven price increases have already done the damage. This is deliberately not a universal free-energy proposal; it is targeted protection for those most exposed to cold, poverty, and winter energy insecurity.</w:t>
      </w:r>
    </w:p>
    <w:p>
      <w:pPr>
        <w:pStyle w:val="Heading2"/>
        <w:spacing w:after="160" w:before="300"/>
      </w:pPr>
      <w:bookmarkStart w:name="ch3b" w:id="1"/>
      <w:r>
        <w:rPr>
          <w:b/>
          <w:bCs/>
          <w:color w:val="1B2A4A"/>
        </w:rPr>
        <w:t xml:space="preserve">3b. Great British Energy vs Carbon Free Future</w:t>
      </w:r>
      <w:bookmarkEnd w:id="1"/>
    </w:p>
    <w:p>
      <w:pPr>
        <w:spacing w:after="200" w:line="300"/>
      </w:pPr>
      <w:r>
        <w:rPr>
          <w:sz w:val="22"/>
          <w:szCs w:val="22"/>
        </w:rPr>
        <w:t xml:space="preserve">Great British Energy (GBE) is a genuine and welcome shift away from the fully privatised model — but it still operates inside a mixed system that allows private capital, outside influence, and partial foreign involvement. CFF goes further: full British state ownership, full British strategic control, and a system built not just for clean generation but for resilience when the wind drops, the sun fades, and external markets turn hostile.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Question</w:t>
            </w:r>
          </w:p>
        </w:tc>
        <w:tc>
          <w:tcPr>
            <w:tcW w:type="pct" w:w="33%"/>
            <w:shd w:fill="1B2A4A" w:val="clear"/>
            <w:tcMar>
              <w:top w:type="dxa" w:w="80"/>
              <w:left w:type="dxa" w:w="100"/>
              <w:bottom w:type="dxa" w:w="80"/>
              <w:right w:type="dxa" w:w="100"/>
            </w:tcMar>
          </w:tcPr>
          <w:p>
            <w:r>
              <w:rPr>
                <w:b/>
                <w:bCs/>
                <w:color w:val="FFFFFF"/>
                <w:sz w:val="19"/>
                <w:szCs w:val="19"/>
              </w:rPr>
              <w:t xml:space="preserve">Great British Energy</w:t>
            </w:r>
          </w:p>
        </w:tc>
        <w:tc>
          <w:tcPr>
            <w:tcW w:type="pct" w:w="33%"/>
            <w:shd w:fill="1B2A4A" w:val="clear"/>
            <w:tcMar>
              <w:top w:type="dxa" w:w="80"/>
              <w:left w:type="dxa" w:w="100"/>
              <w:bottom w:type="dxa" w:w="80"/>
              <w:right w:type="dxa" w:w="100"/>
            </w:tcMar>
          </w:tcPr>
          <w:p>
            <w:r>
              <w:rPr>
                <w:b/>
                <w:bCs/>
                <w:color w:val="FFFFFF"/>
                <w:sz w:val="19"/>
                <w:szCs w:val="19"/>
              </w:rPr>
              <w:t xml:space="preserve">Carbon Free Future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Public role</w:t>
            </w:r>
          </w:p>
        </w:tc>
        <w:tc>
          <w:tcPr>
            <w:tcW w:type="pct" w:w="33%"/>
            <w:tcMar>
              <w:top w:type="dxa" w:w="80"/>
              <w:left w:type="dxa" w:w="100"/>
              <w:bottom w:type="dxa" w:w="80"/>
              <w:right w:type="dxa" w:w="100"/>
            </w:tcMar>
          </w:tcPr>
          <w:p>
            <w:r>
              <w:rPr>
                <w:b w:val="false"/>
                <w:bCs w:val="false"/>
                <w:color w:val="000000"/>
                <w:sz w:val="19"/>
                <w:szCs w:val="19"/>
              </w:rPr>
              <w:t xml:space="preserve">Yes — public ownership returns to the sector</w:t>
            </w:r>
          </w:p>
        </w:tc>
        <w:tc>
          <w:tcPr>
            <w:tcW w:type="pct" w:w="33%"/>
            <w:tcMar>
              <w:top w:type="dxa" w:w="80"/>
              <w:left w:type="dxa" w:w="100"/>
              <w:bottom w:type="dxa" w:w="80"/>
              <w:right w:type="dxa" w:w="100"/>
            </w:tcMar>
          </w:tcPr>
          <w:p>
            <w:r>
              <w:rPr>
                <w:b w:val="false"/>
                <w:bCs w:val="false"/>
                <w:color w:val="000000"/>
                <w:sz w:val="19"/>
                <w:szCs w:val="19"/>
              </w:rPr>
              <w:t xml:space="preserve">Yes — as the governing principle of the whole strategic system</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Private sector involvement</w:t>
            </w:r>
          </w:p>
        </w:tc>
        <w:tc>
          <w:tcPr>
            <w:tcW w:type="pct" w:w="33%"/>
            <w:tcMar>
              <w:top w:type="dxa" w:w="80"/>
              <w:left w:type="dxa" w:w="100"/>
              <w:bottom w:type="dxa" w:w="80"/>
              <w:right w:type="dxa" w:w="100"/>
            </w:tcMar>
          </w:tcPr>
          <w:p>
            <w:r>
              <w:rPr>
                <w:b w:val="false"/>
                <w:bCs w:val="false"/>
                <w:color w:val="000000"/>
                <w:sz w:val="19"/>
                <w:szCs w:val="19"/>
              </w:rPr>
              <w:t xml:space="preserve">Explicitly included as a delivery and investment partner</w:t>
            </w:r>
          </w:p>
        </w:tc>
        <w:tc>
          <w:tcPr>
            <w:tcW w:type="pct" w:w="33%"/>
            <w:tcMar>
              <w:top w:type="dxa" w:w="80"/>
              <w:left w:type="dxa" w:w="100"/>
              <w:bottom w:type="dxa" w:w="80"/>
              <w:right w:type="dxa" w:w="100"/>
            </w:tcMar>
          </w:tcPr>
          <w:p>
            <w:r>
              <w:rPr>
                <w:b w:val="false"/>
                <w:bCs w:val="false"/>
                <w:color w:val="000000"/>
                <w:sz w:val="19"/>
                <w:szCs w:val="19"/>
              </w:rPr>
              <w:t xml:space="preserve">Allowed only at the edge, not in ownership or control of the strategic core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Foreign influence</w:t>
            </w:r>
          </w:p>
        </w:tc>
        <w:tc>
          <w:tcPr>
            <w:tcW w:type="pct" w:w="33%"/>
            <w:tcMar>
              <w:top w:type="dxa" w:w="80"/>
              <w:left w:type="dxa" w:w="100"/>
              <w:bottom w:type="dxa" w:w="80"/>
              <w:right w:type="dxa" w:w="100"/>
            </w:tcMar>
          </w:tcPr>
          <w:p>
            <w:r>
              <w:rPr>
                <w:b w:val="false"/>
                <w:bCs w:val="false"/>
                <w:color w:val="000000"/>
                <w:sz w:val="19"/>
                <w:szCs w:val="19"/>
              </w:rPr>
              <w:t xml:space="preserve">Not structurally excluded</w:t>
            </w:r>
          </w:p>
        </w:tc>
        <w:tc>
          <w:tcPr>
            <w:tcW w:type="pct" w:w="33%"/>
            <w:tcMar>
              <w:top w:type="dxa" w:w="80"/>
              <w:left w:type="dxa" w:w="100"/>
              <w:bottom w:type="dxa" w:w="80"/>
              <w:right w:type="dxa" w:w="100"/>
            </w:tcMar>
          </w:tcPr>
          <w:p>
            <w:r>
              <w:rPr>
                <w:b w:val="false"/>
                <w:bCs w:val="false"/>
                <w:color w:val="000000"/>
                <w:sz w:val="19"/>
                <w:szCs w:val="19"/>
              </w:rPr>
              <w:t xml:space="preserve">Explicitly excluded from strategic control</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Low-wind / low-sun response</w:t>
            </w:r>
          </w:p>
        </w:tc>
        <w:tc>
          <w:tcPr>
            <w:tcW w:type="pct" w:w="33%"/>
            <w:tcMar>
              <w:top w:type="dxa" w:w="80"/>
              <w:left w:type="dxa" w:w="100"/>
              <w:bottom w:type="dxa" w:w="80"/>
              <w:right w:type="dxa" w:w="100"/>
            </w:tcMar>
          </w:tcPr>
          <w:p>
            <w:r>
              <w:rPr>
                <w:b w:val="false"/>
                <w:bCs w:val="false"/>
                <w:color w:val="000000"/>
                <w:sz w:val="19"/>
                <w:szCs w:val="19"/>
              </w:rPr>
              <w:t xml:space="preserve">Depends on the wider mixed system</w:t>
            </w:r>
          </w:p>
        </w:tc>
        <w:tc>
          <w:tcPr>
            <w:tcW w:type="pct" w:w="33%"/>
            <w:tcMar>
              <w:top w:type="dxa" w:w="80"/>
              <w:left w:type="dxa" w:w="100"/>
              <w:bottom w:type="dxa" w:w="80"/>
              <w:right w:type="dxa" w:w="100"/>
            </w:tcMar>
          </w:tcPr>
          <w:p>
            <w:r>
              <w:rPr>
                <w:b w:val="false"/>
                <w:bCs w:val="false"/>
                <w:color w:val="000000"/>
                <w:sz w:val="19"/>
                <w:szCs w:val="19"/>
              </w:rPr>
              <w:t xml:space="preserve">Built around firm baseload, hydrogen flexibility, and system resilience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Scope</w:t>
            </w:r>
          </w:p>
        </w:tc>
        <w:tc>
          <w:tcPr>
            <w:tcW w:type="pct" w:w="33%"/>
            <w:tcMar>
              <w:top w:type="dxa" w:w="80"/>
              <w:left w:type="dxa" w:w="100"/>
              <w:bottom w:type="dxa" w:w="80"/>
              <w:right w:type="dxa" w:w="100"/>
            </w:tcMar>
          </w:tcPr>
          <w:p>
            <w:r>
              <w:rPr>
                <w:b w:val="false"/>
                <w:bCs w:val="false"/>
                <w:color w:val="000000"/>
                <w:sz w:val="19"/>
                <w:szCs w:val="19"/>
              </w:rPr>
              <w:t xml:space="preserve">Clean power projects</w:t>
            </w:r>
          </w:p>
        </w:tc>
        <w:tc>
          <w:tcPr>
            <w:tcW w:type="pct" w:w="33%"/>
            <w:tcMar>
              <w:top w:type="dxa" w:w="80"/>
              <w:left w:type="dxa" w:w="100"/>
              <w:bottom w:type="dxa" w:w="80"/>
              <w:right w:type="dxa" w:w="100"/>
            </w:tcMar>
          </w:tcPr>
          <w:p>
            <w:r>
              <w:rPr>
                <w:b w:val="false"/>
                <w:bCs w:val="false"/>
                <w:color w:val="000000"/>
                <w:sz w:val="19"/>
                <w:szCs w:val="19"/>
              </w:rPr>
              <w:t xml:space="preserve">Power, hydrogen, water, heat, grid support, industrial renewal, and resilience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Best description</w:t>
            </w:r>
          </w:p>
        </w:tc>
        <w:tc>
          <w:tcPr>
            <w:tcW w:type="pct" w:w="33%"/>
            <w:tcMar>
              <w:top w:type="dxa" w:w="80"/>
              <w:left w:type="dxa" w:w="100"/>
              <w:bottom w:type="dxa" w:w="80"/>
              <w:right w:type="dxa" w:w="100"/>
            </w:tcMar>
          </w:tcPr>
          <w:p>
            <w:r>
              <w:rPr>
                <w:b w:val="false"/>
                <w:bCs w:val="false"/>
                <w:color w:val="000000"/>
                <w:sz w:val="19"/>
                <w:szCs w:val="19"/>
              </w:rPr>
              <w:t xml:space="preserve">A public company inside a mixed market</w:t>
            </w:r>
          </w:p>
        </w:tc>
        <w:tc>
          <w:tcPr>
            <w:tcW w:type="pct" w:w="33%"/>
            <w:tcMar>
              <w:top w:type="dxa" w:w="80"/>
              <w:left w:type="dxa" w:w="100"/>
              <w:bottom w:type="dxa" w:w="80"/>
              <w:right w:type="dxa" w:w="100"/>
            </w:tcMar>
          </w:tcPr>
          <w:p>
            <w:r>
              <w:rPr>
                <w:b w:val="false"/>
                <w:bCs w:val="false"/>
                <w:color w:val="000000"/>
                <w:sz w:val="19"/>
                <w:szCs w:val="19"/>
              </w:rPr>
              <w:t xml:space="preserve">A sovereign national system designed to remove external leverage</w:t>
            </w:r>
          </w:p>
        </w:tc>
      </w:tr>
    </w:tbl>
    <w:p>
      <w:pPr>
        <w:spacing w:after="200"/>
      </w:pPr>
    </w:p>
    <w:p>
      <w:pPr>
        <w:spacing w:after="200" w:line="300"/>
      </w:pPr>
      <w:r>
        <w:rPr>
          <w:sz w:val="22"/>
          <w:szCs w:val="22"/>
        </w:rPr>
        <w:t xml:space="preserve">The fair conclusion: Great British Energy is better than the old privatised settlement because it restores a public role and accepts that Britain should own more of its energy future. But if the test is full sovereign control, resilience under stress, and protection from foreign leverage, GBE does not yet go far enough. GBE is a first step. CFF is the full sovereign model.</w:t>
      </w:r>
    </w:p>
    <w:p>
      <w:r>
        <w:br w:type="page"/>
      </w:r>
    </w:p>
    <w:p>
      <w:pPr>
        <w:pStyle w:val="Heading1"/>
      </w:pPr>
      <w:bookmarkStart w:name="ch4" w:id="1"/>
      <w:r>
        <w:rPr>
          <w:color w:val="9C7A2E"/>
          <w:sz w:val="22"/>
          <w:szCs w:val="22"/>
        </w:rPr>
        <w:t xml:space="preserve">Chapter 4 — Energy &amp; Hydrogen</w:t>
      </w:r>
      <w:bookmarkEnd w:id="1"/>
    </w:p>
    <w:p>
      <w:pPr>
        <w:spacing w:after="240" w:before="60"/>
      </w:pPr>
      <w:r>
        <w:rPr>
          <w:b/>
          <w:bCs/>
          <w:color w:val="1B2A4A"/>
          <w:sz w:val="40"/>
          <w:szCs w:val="40"/>
        </w:rPr>
        <w:t xml:space="preserve">Energy &amp; Hydrogen</w:t>
      </w:r>
    </w:p>
    <w:p>
      <w:pPr>
        <w:spacing w:after="300" w:line="300"/>
      </w:pPr>
      <w:r>
        <w:rPr>
          <w:i/>
          <w:iCs/>
          <w:color w:val="333333"/>
          <w:sz w:val="22"/>
          <w:szCs w:val="22"/>
        </w:rPr>
        <w:t xml:space="preserve">Electrification matters, but treating it as the only answer creates pressure on the grid, on industry, and on national resilience. CFF uses electricity where it fits best and reserves hydrogen for the hardest jobs the grid does not solve well on its own. This chapter sets out the engineering case for every major technology choice CFF makes.</w:t>
      </w:r>
    </w:p>
    <w:p>
      <w:pPr>
        <w:pStyle w:val="Heading2"/>
        <w:spacing w:after="160" w:before="300"/>
      </w:pPr>
      <w:bookmarkStart w:name="ch4a" w:id="1"/>
      <w:r>
        <w:rPr>
          <w:b/>
          <w:bCs/>
          <w:color w:val="1B2A4A"/>
        </w:rPr>
        <w:t xml:space="preserve">4a. Baseline Power Isn't Optional — I Lived Through the Alternative</w:t>
      </w:r>
      <w:bookmarkEnd w:id="1"/>
    </w:p>
    <w:p>
      <w:pPr>
        <w:spacing w:after="200" w:line="300"/>
      </w:pPr>
      <w:r>
        <w:rPr>
          <w:sz w:val="22"/>
          <w:szCs w:val="22"/>
        </w:rPr>
        <w:t xml:space="preserve">Britain has been here before, and it was not a policy paper — it was the lived reality of a nation without firm baseline power. From 31 December 1973 to 8 March 1974, a coal shortage driven by an NUM overtime ban and strike, compounded by the 1973 Arab oil embargo, forced Edward Heath's government to impose the Three-Day Week: commercial electricity users restricted to three consecutive days of power, television forced off air at 10.30pm, street lighting dimmed, and households across the country losing power for hours at a time, on a rota published in the newspaper each morning like a weather forecast. The miners' strike of 1984–85 brought the same fragility back a decade later. Factories on short time. Wages that didn't stretch because the hours weren't there to earn them. That is not history read in a book. That is a childhood and a working life lived through it.</w:t>
      </w:r>
    </w:p>
    <w:p>
      <w:pPr>
        <w:spacing w:after="200" w:line="300"/>
      </w:pPr>
      <w:r>
        <w:rPr>
          <w:sz w:val="22"/>
          <w:szCs w:val="22"/>
        </w:rPr>
        <w:t xml:space="preserve">The current renewables-only strategy risks repeating the same failure with different technology. Wind does not turn when the air is still. Solar does not generate after dark or through a grey British winter. And when it blows too hard, turbines curtail to protect themselves — too much wind fails the system in exactly the same way as too little. None of that is a criticism of wind and solar as technologies; it is a statement of what they physically cannot do on their own, which is provide the firm, dispatchable baseline power a modern grid needs every hour of every day, regardless of the weather outside.</w:t>
      </w:r>
    </w:p>
    <w:p>
      <w:pPr>
        <w:spacing w:after="200" w:line="300"/>
      </w:pPr>
      <w:r>
        <w:rPr>
          <w:sz w:val="22"/>
          <w:szCs w:val="22"/>
        </w:rPr>
        <w:t xml:space="preserve">Without that baseline, the alternative is not hypothetical. It is blackouts scheduled on a rota, factories running three days a week, and a country that stops during a cold, still January exactly when it can least afford to. Britain lived through that once already, for reasons entirely outside its control. There is no excuse for building a strategy today that risks the same outcome by design.</w:t>
      </w:r>
    </w:p>
    <w:p>
      <w:pPr>
        <w:spacing w:after="100" w:before="200"/>
      </w:pPr>
      <w:r>
        <w:rPr>
          <w:b/>
          <w:bCs/>
          <w:i/>
          <w:iCs/>
          <w:color w:val="1B2A4A"/>
          <w:sz w:val="22"/>
          <w:szCs w:val="22"/>
        </w:rPr>
        <w:t xml:space="preserve">There Is Not Enough Lithium and Cobalt on Earth to Fix It</w:t>
      </w:r>
    </w:p>
    <w:p>
      <w:pPr>
        <w:spacing w:after="200" w:line="300"/>
      </w:pPr>
      <w:r>
        <w:rPr>
          <w:sz w:val="22"/>
          <w:szCs w:val="22"/>
        </w:rPr>
        <w:t xml:space="preserve">The obvious answer — back the intermittency up with batteries — does not survive contact with the numbers. To cover just two weeks of UK electricity demand at winter peak requires roughly 15,100 GWh of storage. Meeting that scale in lithium-ion batteries would need approximately 1,650,000 tonnes of lithium metal — nearly 6% of the entire world's known lithium reserves — and around 1,030,000 tonnes of cobalt, roughly 9% of global reserves, for one country's two-week battery alone. The physical footprint of that many battery containers, inverters, transformers, and fire-safety setbacks would cover somewhere between 574 and 957 square kilometres — an area bigger than the Isle of Man, and in the upper case, comparable to Greater Manchester itself, paved over and fenced in glass and steel. And because grid batteries degrade and need full replacement every 10 to 15 years, that is not a one-off cost. It is a bill Britain would pay again and again, forever, for a technology that still cannot generate a single watt of the power it stores.</w:t>
      </w:r>
    </w:p>
    <w:p>
      <w:pPr>
        <w:spacing w:after="100" w:before="200"/>
      </w:pPr>
      <w:r>
        <w:rPr>
          <w:b/>
          <w:bCs/>
          <w:i/>
          <w:iCs/>
          <w:color w:val="1B2A4A"/>
          <w:sz w:val="22"/>
          <w:szCs w:val="22"/>
        </w:rPr>
        <w:t xml:space="preserve">Owned By Everyone Except Us</w:t>
      </w:r>
    </w:p>
    <w:p>
      <w:pPr>
        <w:spacing w:after="200" w:line="300"/>
      </w:pPr>
      <w:r>
        <w:rPr>
          <w:sz w:val="22"/>
          <w:szCs w:val="22"/>
        </w:rPr>
        <w:t xml:space="preserve">And even the wind and solar Britain already has is not really Britain's. 42.2% of UK offshore wind capacity is owned by foreign state-controlled entities — the governments of Denmark, Norway, France, Sweden, China, and the UAE among them — while UK public entities own just 0.03%. Not a single large offshore wind turbine is manufactured in the UK. 68% of the solar panels installed in this country are imported from China. Britain is being asked to run its entire energy strategy on technology it does not build, does not own, and cannot control the price of — while still lacking, at any point in that plan, the one thing that would actually keep the lights on when the wind stops: firm, sovereign, weather-proof baseline power that Britain owns outright, start to finish. That is what CFF exists to provide, and the rest of this chapter sets out how.</w:t>
      </w:r>
    </w:p>
    <w:p>
      <w:pPr>
        <w:pStyle w:val="Heading2"/>
        <w:spacing w:after="160" w:before="300"/>
      </w:pPr>
      <w:bookmarkStart w:name="ch4b" w:id="1"/>
      <w:r>
        <w:rPr>
          <w:b/>
          <w:bCs/>
          <w:color w:val="1B2A4A"/>
        </w:rPr>
        <w:t xml:space="preserve">4b. Why HTGR — Not a PWR, BWR, or Molten Salt Reactor</w:t>
      </w:r>
      <w:bookmarkEnd w:id="1"/>
    </w:p>
    <w:p>
      <w:pPr>
        <w:spacing w:after="200" w:line="300"/>
      </w:pPr>
      <w:r>
        <w:rPr>
          <w:sz w:val="22"/>
          <w:szCs w:val="22"/>
        </w:rPr>
        <w:t xml:space="preserve">CFF needs a reactor that can deliver 750°C heat directly to steam electrolysers. That single requirement eliminates most of the competition before the conversation starts.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shd w:fill="1B2A4A" w:val="clear"/>
            <w:tcMar>
              <w:top w:type="dxa" w:w="80"/>
              <w:left w:type="dxa" w:w="100"/>
              <w:bottom w:type="dxa" w:w="80"/>
              <w:right w:type="dxa" w:w="100"/>
            </w:tcMar>
          </w:tcPr>
          <w:p>
            <w:r>
              <w:rPr>
                <w:b/>
                <w:bCs/>
                <w:color w:val="FFFFFF"/>
                <w:sz w:val="19"/>
                <w:szCs w:val="19"/>
              </w:rPr>
              <w:t xml:space="preserve">Reactor Type</w:t>
            </w:r>
          </w:p>
        </w:tc>
        <w:tc>
          <w:tcPr>
            <w:tcW w:type="pct" w:w="25%"/>
            <w:shd w:fill="1B2A4A" w:val="clear"/>
            <w:tcMar>
              <w:top w:type="dxa" w:w="80"/>
              <w:left w:type="dxa" w:w="100"/>
              <w:bottom w:type="dxa" w:w="80"/>
              <w:right w:type="dxa" w:w="100"/>
            </w:tcMar>
          </w:tcPr>
          <w:p>
            <w:r>
              <w:rPr>
                <w:b/>
                <w:bCs/>
                <w:color w:val="FFFFFF"/>
                <w:sz w:val="19"/>
                <w:szCs w:val="19"/>
              </w:rPr>
              <w:t xml:space="preserve">Outlet Temp</w:t>
            </w:r>
          </w:p>
        </w:tc>
        <w:tc>
          <w:tcPr>
            <w:tcW w:type="pct" w:w="25%"/>
            <w:shd w:fill="1B2A4A" w:val="clear"/>
            <w:tcMar>
              <w:top w:type="dxa" w:w="80"/>
              <w:left w:type="dxa" w:w="100"/>
              <w:bottom w:type="dxa" w:w="80"/>
              <w:right w:type="dxa" w:w="100"/>
            </w:tcMar>
          </w:tcPr>
          <w:p>
            <w:r>
              <w:rPr>
                <w:b/>
                <w:bCs/>
                <w:color w:val="FFFFFF"/>
                <w:sz w:val="19"/>
                <w:szCs w:val="19"/>
              </w:rPr>
              <w:t xml:space="preserve">Efficiency</w:t>
            </w:r>
          </w:p>
        </w:tc>
        <w:tc>
          <w:tcPr>
            <w:tcW w:type="pct" w:w="25%"/>
            <w:shd w:fill="1B2A4A" w:val="clear"/>
            <w:tcMar>
              <w:top w:type="dxa" w:w="80"/>
              <w:left w:type="dxa" w:w="100"/>
              <w:bottom w:type="dxa" w:w="80"/>
              <w:right w:type="dxa" w:w="100"/>
            </w:tcMar>
          </w:tcPr>
          <w:p>
            <w:r>
              <w:rPr>
                <w:b/>
                <w:bCs/>
                <w:color w:val="FFFFFF"/>
                <w:sz w:val="19"/>
                <w:szCs w:val="19"/>
              </w:rPr>
              <w:t xml:space="preserve">Verdict</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HTGR (Pebble Bed) — chosen</w:t>
            </w:r>
          </w:p>
        </w:tc>
        <w:tc>
          <w:tcPr>
            <w:tcW w:type="pct" w:w="25%"/>
            <w:tcMar>
              <w:top w:type="dxa" w:w="80"/>
              <w:left w:type="dxa" w:w="100"/>
              <w:bottom w:type="dxa" w:w="80"/>
              <w:right w:type="dxa" w:w="100"/>
            </w:tcMar>
          </w:tcPr>
          <w:p>
            <w:r>
              <w:rPr>
                <w:b w:val="false"/>
                <w:bCs w:val="false"/>
                <w:color w:val="000000"/>
                <w:sz w:val="19"/>
                <w:szCs w:val="19"/>
              </w:rPr>
              <w:t xml:space="preserve">750–950°C</w:t>
            </w:r>
          </w:p>
        </w:tc>
        <w:tc>
          <w:tcPr>
            <w:tcW w:type="pct" w:w="25%"/>
            <w:tcMar>
              <w:top w:type="dxa" w:w="80"/>
              <w:left w:type="dxa" w:w="100"/>
              <w:bottom w:type="dxa" w:w="80"/>
              <w:right w:type="dxa" w:w="100"/>
            </w:tcMar>
          </w:tcPr>
          <w:p>
            <w:r>
              <w:rPr>
                <w:b w:val="false"/>
                <w:bCs w:val="false"/>
                <w:color w:val="000000"/>
                <w:sz w:val="19"/>
                <w:szCs w:val="19"/>
              </w:rPr>
              <w:t xml:space="preserve">40–50%</w:t>
            </w:r>
          </w:p>
        </w:tc>
        <w:tc>
          <w:tcPr>
            <w:tcW w:type="pct" w:w="25%"/>
            <w:tcMar>
              <w:top w:type="dxa" w:w="80"/>
              <w:left w:type="dxa" w:w="100"/>
              <w:bottom w:type="dxa" w:w="80"/>
              <w:right w:type="dxa" w:w="100"/>
            </w:tcMar>
          </w:tcPr>
          <w:p>
            <w:r>
              <w:rPr>
                <w:b w:val="false"/>
                <w:bCs w:val="false"/>
                <w:color w:val="000000"/>
                <w:sz w:val="19"/>
                <w:szCs w:val="19"/>
              </w:rPr>
              <w:t xml:space="preserve">Delivers 750°C helium directly, hot enough for HTSE with no parasitic electrical heating. TRISO fuel is meltdown-proof. China's HTR-PM is already operating.</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PWR</w:t>
            </w:r>
          </w:p>
        </w:tc>
        <w:tc>
          <w:tcPr>
            <w:tcW w:type="pct" w:w="25%"/>
            <w:tcMar>
              <w:top w:type="dxa" w:w="80"/>
              <w:left w:type="dxa" w:w="100"/>
              <w:bottom w:type="dxa" w:w="80"/>
              <w:right w:type="dxa" w:w="100"/>
            </w:tcMar>
          </w:tcPr>
          <w:p>
            <w:r>
              <w:rPr>
                <w:b w:val="false"/>
                <w:bCs w:val="false"/>
                <w:color w:val="000000"/>
                <w:sz w:val="19"/>
                <w:szCs w:val="19"/>
              </w:rPr>
              <w:t xml:space="preserve">~324°C</w:t>
            </w:r>
          </w:p>
        </w:tc>
        <w:tc>
          <w:tcPr>
            <w:tcW w:type="pct" w:w="25%"/>
            <w:tcMar>
              <w:top w:type="dxa" w:w="80"/>
              <w:left w:type="dxa" w:w="100"/>
              <w:bottom w:type="dxa" w:w="80"/>
              <w:right w:type="dxa" w:w="100"/>
            </w:tcMar>
          </w:tcPr>
          <w:p>
            <w:r>
              <w:rPr>
                <w:b w:val="false"/>
                <w:bCs w:val="false"/>
                <w:color w:val="000000"/>
                <w:sz w:val="19"/>
                <w:szCs w:val="19"/>
              </w:rPr>
              <w:t xml:space="preserve">30–35%</w:t>
            </w:r>
          </w:p>
        </w:tc>
        <w:tc>
          <w:tcPr>
            <w:tcW w:type="pct" w:w="25%"/>
            <w:tcMar>
              <w:top w:type="dxa" w:w="80"/>
              <w:left w:type="dxa" w:w="100"/>
              <w:bottom w:type="dxa" w:w="80"/>
              <w:right w:type="dxa" w:w="100"/>
            </w:tcMar>
          </w:tcPr>
          <w:p>
            <w:r>
              <w:rPr>
                <w:b w:val="false"/>
                <w:bCs w:val="false"/>
                <w:color w:val="000000"/>
                <w:sz w:val="19"/>
                <w:szCs w:val="19"/>
              </w:rPr>
              <w:t xml:space="preserve">Steam is 465°C too cold for HTSE — would need 60–70% of electrical output just to reheat it. Hinkley Point C is a PWR.</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BWR</w:t>
            </w:r>
          </w:p>
        </w:tc>
        <w:tc>
          <w:tcPr>
            <w:tcW w:type="pct" w:w="25%"/>
            <w:tcMar>
              <w:top w:type="dxa" w:w="80"/>
              <w:left w:type="dxa" w:w="100"/>
              <w:bottom w:type="dxa" w:w="80"/>
              <w:right w:type="dxa" w:w="100"/>
            </w:tcMar>
          </w:tcPr>
          <w:p>
            <w:r>
              <w:rPr>
                <w:b w:val="false"/>
                <w:bCs w:val="false"/>
                <w:color w:val="000000"/>
                <w:sz w:val="19"/>
                <w:szCs w:val="19"/>
              </w:rPr>
              <w:t xml:space="preserve">~288°C</w:t>
            </w:r>
          </w:p>
        </w:tc>
        <w:tc>
          <w:tcPr>
            <w:tcW w:type="pct" w:w="25%"/>
            <w:tcMar>
              <w:top w:type="dxa" w:w="80"/>
              <w:left w:type="dxa" w:w="100"/>
              <w:bottom w:type="dxa" w:w="80"/>
              <w:right w:type="dxa" w:w="100"/>
            </w:tcMar>
          </w:tcPr>
          <w:p>
            <w:r>
              <w:rPr>
                <w:b w:val="false"/>
                <w:bCs w:val="false"/>
                <w:color w:val="000000"/>
                <w:sz w:val="19"/>
                <w:szCs w:val="19"/>
              </w:rPr>
              <w:t xml:space="preserve">30–34%</w:t>
            </w:r>
          </w:p>
        </w:tc>
        <w:tc>
          <w:tcPr>
            <w:tcW w:type="pct" w:w="25%"/>
            <w:tcMar>
              <w:top w:type="dxa" w:w="80"/>
              <w:left w:type="dxa" w:w="100"/>
              <w:bottom w:type="dxa" w:w="80"/>
              <w:right w:type="dxa" w:w="100"/>
            </w:tcMar>
          </w:tcPr>
          <w:p>
            <w:r>
              <w:rPr>
                <w:b w:val="false"/>
                <w:bCs w:val="false"/>
                <w:color w:val="000000"/>
                <w:sz w:val="19"/>
                <w:szCs w:val="19"/>
              </w:rPr>
              <w:t xml:space="preserve">Even colder than a PWR. Same fundamental problem, plus a larger pressure vessel.</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Molten Salt Reactor</w:t>
            </w:r>
          </w:p>
        </w:tc>
        <w:tc>
          <w:tcPr>
            <w:tcW w:type="pct" w:w="25%"/>
            <w:tcMar>
              <w:top w:type="dxa" w:w="80"/>
              <w:left w:type="dxa" w:w="100"/>
              <w:bottom w:type="dxa" w:w="80"/>
              <w:right w:type="dxa" w:w="100"/>
            </w:tcMar>
          </w:tcPr>
          <w:p>
            <w:r>
              <w:rPr>
                <w:b w:val="false"/>
                <w:bCs w:val="false"/>
                <w:color w:val="000000"/>
                <w:sz w:val="19"/>
                <w:szCs w:val="19"/>
              </w:rPr>
              <w:t xml:space="preserve">700–850°C</w:t>
            </w:r>
          </w:p>
        </w:tc>
        <w:tc>
          <w:tcPr>
            <w:tcW w:type="pct" w:w="25%"/>
            <w:tcMar>
              <w:top w:type="dxa" w:w="80"/>
              <w:left w:type="dxa" w:w="100"/>
              <w:bottom w:type="dxa" w:w="80"/>
              <w:right w:type="dxa" w:w="100"/>
            </w:tcMar>
          </w:tcPr>
          <w:p>
            <w:r>
              <w:rPr>
                <w:b w:val="false"/>
                <w:bCs w:val="false"/>
                <w:color w:val="000000"/>
                <w:sz w:val="19"/>
                <w:szCs w:val="19"/>
              </w:rPr>
              <w:t xml:space="preserve">42–50%</w:t>
            </w:r>
          </w:p>
        </w:tc>
        <w:tc>
          <w:tcPr>
            <w:tcW w:type="pct" w:w="25%"/>
            <w:tcMar>
              <w:top w:type="dxa" w:w="80"/>
              <w:left w:type="dxa" w:w="100"/>
              <w:bottom w:type="dxa" w:w="80"/>
              <w:right w:type="dxa" w:w="100"/>
            </w:tcMar>
          </w:tcPr>
          <w:p>
            <w:r>
              <w:rPr>
                <w:b w:val="false"/>
                <w:bCs w:val="false"/>
                <w:color w:val="000000"/>
                <w:sz w:val="19"/>
                <w:szCs w:val="19"/>
              </w:rPr>
              <w:t xml:space="preserve">Right temperature, but no commercial MSR has ever been built. Regulatory pathway is 25–30 years behind HTGRs.</w:t>
            </w:r>
          </w:p>
        </w:tc>
      </w:tr>
    </w:tbl>
    <w:p>
      <w:pPr>
        <w:spacing w:after="200"/>
      </w:pPr>
    </w:p>
    <w:p>
      <w:pPr>
        <w:spacing w:after="200" w:line="300"/>
      </w:pPr>
      <w:r>
        <w:rPr>
          <w:sz w:val="22"/>
          <w:szCs w:val="22"/>
        </w:rPr>
        <w:t xml:space="preserve">Bottom line: HTGR is the only reactor type that is hot enough, proven enough, and safe enough to start building this decade.</w:t>
      </w:r>
    </w:p>
    <w:p>
      <w:pPr>
        <w:spacing w:after="100" w:before="200"/>
      </w:pPr>
      <w:r>
        <w:rPr>
          <w:b/>
          <w:bCs/>
          <w:i/>
          <w:iCs/>
          <w:color w:val="1B2A4A"/>
          <w:sz w:val="22"/>
          <w:szCs w:val="22"/>
        </w:rPr>
        <w:t xml:space="preserve">Why TRISO Fuel, Not Conventional Uranium Pellets</w:t>
      </w:r>
    </w:p>
    <w:p>
      <w:pPr>
        <w:spacing w:after="200" w:line="300"/>
      </w:pPr>
      <w:r>
        <w:rPr>
          <w:sz w:val="22"/>
          <w:szCs w:val="22"/>
        </w:rPr>
        <w:t xml:space="preserve">Each TRISO particle has three layers of ceramic armour — the fuel physically cannot melt, even at 1,800°C. Millions of independent particles mean no single-point failure. No zirconium cladding means no hydrogen generation in an accident — the Fukushima hydrogen explosions cannot happen. The US Department of Energy calls it “the most robust nuclear fuel on Earth.”</w:t>
      </w:r>
    </w:p>
    <w:p>
      <w:pPr>
        <w:pStyle w:val="Heading2"/>
        <w:spacing w:after="160" w:before="300"/>
      </w:pPr>
      <w:bookmarkStart w:name="ch4c" w:id="1"/>
      <w:r>
        <w:rPr>
          <w:b/>
          <w:bCs/>
          <w:color w:val="1B2A4A"/>
        </w:rPr>
        <w:t xml:space="preserve">4c. Why HTSE — Not PEM or Alkaline Electrolysis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shd w:fill="1B2A4A" w:val="clear"/>
            <w:tcMar>
              <w:top w:type="dxa" w:w="80"/>
              <w:left w:type="dxa" w:w="100"/>
              <w:bottom w:type="dxa" w:w="80"/>
              <w:right w:type="dxa" w:w="100"/>
            </w:tcMar>
          </w:tcPr>
          <w:p>
            <w:r>
              <w:rPr>
                <w:b/>
                <w:bCs/>
                <w:color w:val="FFFFFF"/>
                <w:sz w:val="19"/>
                <w:szCs w:val="19"/>
              </w:rPr>
              <w:t xml:space="preserve">Electrolyser</w:t>
            </w:r>
          </w:p>
        </w:tc>
        <w:tc>
          <w:tcPr>
            <w:tcW w:type="pct" w:w="25%"/>
            <w:shd w:fill="1B2A4A" w:val="clear"/>
            <w:tcMar>
              <w:top w:type="dxa" w:w="80"/>
              <w:left w:type="dxa" w:w="100"/>
              <w:bottom w:type="dxa" w:w="80"/>
              <w:right w:type="dxa" w:w="100"/>
            </w:tcMar>
          </w:tcPr>
          <w:p>
            <w:r>
              <w:rPr>
                <w:b/>
                <w:bCs/>
                <w:color w:val="FFFFFF"/>
                <w:sz w:val="19"/>
                <w:szCs w:val="19"/>
              </w:rPr>
              <w:t xml:space="preserve">Temperature</w:t>
            </w:r>
          </w:p>
        </w:tc>
        <w:tc>
          <w:tcPr>
            <w:tcW w:type="pct" w:w="25%"/>
            <w:shd w:fill="1B2A4A" w:val="clear"/>
            <w:tcMar>
              <w:top w:type="dxa" w:w="80"/>
              <w:left w:type="dxa" w:w="100"/>
              <w:bottom w:type="dxa" w:w="80"/>
              <w:right w:type="dxa" w:w="100"/>
            </w:tcMar>
          </w:tcPr>
          <w:p>
            <w:r>
              <w:rPr>
                <w:b/>
                <w:bCs/>
                <w:color w:val="FFFFFF"/>
                <w:sz w:val="19"/>
                <w:szCs w:val="19"/>
              </w:rPr>
              <w:t xml:space="preserve">Efficiency</w:t>
            </w:r>
          </w:p>
        </w:tc>
        <w:tc>
          <w:tcPr>
            <w:tcW w:type="pct" w:w="25%"/>
            <w:shd w:fill="1B2A4A" w:val="clear"/>
            <w:tcMar>
              <w:top w:type="dxa" w:w="80"/>
              <w:left w:type="dxa" w:w="100"/>
              <w:bottom w:type="dxa" w:w="80"/>
              <w:right w:type="dxa" w:w="100"/>
            </w:tcMar>
          </w:tcPr>
          <w:p>
            <w:r>
              <w:rPr>
                <w:b/>
                <w:bCs/>
                <w:color w:val="FFFFFF"/>
                <w:sz w:val="19"/>
                <w:szCs w:val="19"/>
              </w:rPr>
              <w:t xml:space="preserve">Verdict</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HTSE (Solid Oxide) — chosen</w:t>
            </w:r>
          </w:p>
        </w:tc>
        <w:tc>
          <w:tcPr>
            <w:tcW w:type="pct" w:w="25%"/>
            <w:tcMar>
              <w:top w:type="dxa" w:w="80"/>
              <w:left w:type="dxa" w:w="100"/>
              <w:bottom w:type="dxa" w:w="80"/>
              <w:right w:type="dxa" w:w="100"/>
            </w:tcMar>
          </w:tcPr>
          <w:p>
            <w:r>
              <w:rPr>
                <w:b w:val="false"/>
                <w:bCs w:val="false"/>
                <w:color w:val="000000"/>
                <w:sz w:val="19"/>
                <w:szCs w:val="19"/>
              </w:rPr>
              <w:t xml:space="preserve">700–850°C</w:t>
            </w:r>
          </w:p>
        </w:tc>
        <w:tc>
          <w:tcPr>
            <w:tcW w:type="pct" w:w="25%"/>
            <w:tcMar>
              <w:top w:type="dxa" w:w="80"/>
              <w:left w:type="dxa" w:w="100"/>
              <w:bottom w:type="dxa" w:w="80"/>
              <w:right w:type="dxa" w:w="100"/>
            </w:tcMar>
          </w:tcPr>
          <w:p>
            <w:r>
              <w:rPr>
                <w:b w:val="false"/>
                <w:bCs w:val="false"/>
                <w:color w:val="000000"/>
                <w:sz w:val="19"/>
                <w:szCs w:val="19"/>
              </w:rPr>
              <w:t xml:space="preserve">~84% electrical</w:t>
            </w:r>
          </w:p>
        </w:tc>
        <w:tc>
          <w:tcPr>
            <w:tcW w:type="pct" w:w="25%"/>
            <w:tcMar>
              <w:top w:type="dxa" w:w="80"/>
              <w:left w:type="dxa" w:w="100"/>
              <w:bottom w:type="dxa" w:w="80"/>
              <w:right w:type="dxa" w:w="100"/>
            </w:tcMar>
          </w:tcPr>
          <w:p>
            <w:r>
              <w:rPr>
                <w:b w:val="false"/>
                <w:bCs w:val="false"/>
                <w:color w:val="000000"/>
                <w:sz w:val="19"/>
                <w:szCs w:val="19"/>
              </w:rPr>
              <w:t xml:space="preserve">Takes 700°C steam directly from the HTGR's helium loop, so the electrolyser needs far less electricity, and produces pure oxygen as a co-product.</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PEM</w:t>
            </w:r>
          </w:p>
        </w:tc>
        <w:tc>
          <w:tcPr>
            <w:tcW w:type="pct" w:w="25%"/>
            <w:tcMar>
              <w:top w:type="dxa" w:w="80"/>
              <w:left w:type="dxa" w:w="100"/>
              <w:bottom w:type="dxa" w:w="80"/>
              <w:right w:type="dxa" w:w="100"/>
            </w:tcMar>
          </w:tcPr>
          <w:p>
            <w:r>
              <w:rPr>
                <w:b w:val="false"/>
                <w:bCs w:val="false"/>
                <w:color w:val="000000"/>
                <w:sz w:val="19"/>
                <w:szCs w:val="19"/>
              </w:rPr>
              <w:t xml:space="preserve">50–80°C</w:t>
            </w:r>
          </w:p>
        </w:tc>
        <w:tc>
          <w:tcPr>
            <w:tcW w:type="pct" w:w="25%"/>
            <w:tcMar>
              <w:top w:type="dxa" w:w="80"/>
              <w:left w:type="dxa" w:w="100"/>
              <w:bottom w:type="dxa" w:w="80"/>
              <w:right w:type="dxa" w:w="100"/>
            </w:tcMar>
          </w:tcPr>
          <w:p>
            <w:r>
              <w:rPr>
                <w:b w:val="false"/>
                <w:bCs w:val="false"/>
                <w:color w:val="000000"/>
                <w:sz w:val="19"/>
                <w:szCs w:val="19"/>
              </w:rPr>
              <w:t xml:space="preserve">67–75% (LHV)</w:t>
            </w:r>
          </w:p>
        </w:tc>
        <w:tc>
          <w:tcPr>
            <w:tcW w:type="pct" w:w="25%"/>
            <w:tcMar>
              <w:top w:type="dxa" w:w="80"/>
              <w:left w:type="dxa" w:w="100"/>
              <w:bottom w:type="dxa" w:w="80"/>
              <w:right w:type="dxa" w:w="100"/>
            </w:tcMar>
          </w:tcPr>
          <w:p>
            <w:r>
              <w:rPr>
                <w:b w:val="false"/>
                <w:bCs w:val="false"/>
                <w:color w:val="000000"/>
                <w:sz w:val="19"/>
                <w:szCs w:val="19"/>
              </w:rPr>
              <w:t xml:space="preserve">Runs at room temperature — wastes the 750°C of free heat already available. Needs expensive platinum and iridium catalysts.</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Alkaline</w:t>
            </w:r>
          </w:p>
        </w:tc>
        <w:tc>
          <w:tcPr>
            <w:tcW w:type="pct" w:w="25%"/>
            <w:tcMar>
              <w:top w:type="dxa" w:w="80"/>
              <w:left w:type="dxa" w:w="100"/>
              <w:bottom w:type="dxa" w:w="80"/>
              <w:right w:type="dxa" w:w="100"/>
            </w:tcMar>
          </w:tcPr>
          <w:p>
            <w:r>
              <w:rPr>
                <w:b w:val="false"/>
                <w:bCs w:val="false"/>
                <w:color w:val="000000"/>
                <w:sz w:val="19"/>
                <w:szCs w:val="19"/>
              </w:rPr>
              <w:t xml:space="preserve">60–90°C</w:t>
            </w:r>
          </w:p>
        </w:tc>
        <w:tc>
          <w:tcPr>
            <w:tcW w:type="pct" w:w="25%"/>
            <w:tcMar>
              <w:top w:type="dxa" w:w="80"/>
              <w:left w:type="dxa" w:w="100"/>
              <w:bottom w:type="dxa" w:w="80"/>
              <w:right w:type="dxa" w:w="100"/>
            </w:tcMar>
          </w:tcPr>
          <w:p>
            <w:r>
              <w:rPr>
                <w:b w:val="false"/>
                <w:bCs w:val="false"/>
                <w:color w:val="000000"/>
                <w:sz w:val="19"/>
                <w:szCs w:val="19"/>
              </w:rPr>
              <w:t xml:space="preserve">65–72% (LHV)</w:t>
            </w:r>
          </w:p>
        </w:tc>
        <w:tc>
          <w:tcPr>
            <w:tcW w:type="pct" w:w="25%"/>
            <w:tcMar>
              <w:top w:type="dxa" w:w="80"/>
              <w:left w:type="dxa" w:w="100"/>
              <w:bottom w:type="dxa" w:w="80"/>
              <w:right w:type="dxa" w:w="100"/>
            </w:tcMar>
          </w:tcPr>
          <w:p>
            <w:r>
              <w:rPr>
                <w:b w:val="false"/>
                <w:bCs w:val="false"/>
                <w:color w:val="000000"/>
                <w:sz w:val="19"/>
                <w:szCs w:val="19"/>
              </w:rPr>
              <w:t xml:space="preserve">The oldest and cheapest electrolyser, but the least efficient. Cannot use the HTGR's waste heat.</w:t>
            </w:r>
          </w:p>
        </w:tc>
      </w:tr>
    </w:tbl>
    <w:p>
      <w:pPr>
        <w:spacing w:after="200"/>
      </w:pPr>
    </w:p>
    <w:p>
      <w:pPr>
        <w:spacing w:after="200" w:line="300"/>
      </w:pPr>
      <w:r>
        <w:rPr>
          <w:sz w:val="22"/>
          <w:szCs w:val="22"/>
        </w:rPr>
        <w:t xml:space="preserve">The interlocking logic: HTGR (750°C heat) → helium (carries heat safely) → HTSE (splits steam at 700°C) → hydrogen and oxygen. Every piece depends on the piece before it. Swap any single component and the efficiency, safety, or economics of the entire chain falls apart. That is engineering precision, not a design weakness.</w:t>
      </w:r>
    </w:p>
    <w:p>
      <w:pPr>
        <w:pStyle w:val="Heading2"/>
        <w:spacing w:after="160" w:before="300"/>
      </w:pPr>
      <w:bookmarkStart w:name="ch4d" w:id="1"/>
      <w:r>
        <w:rPr>
          <w:b/>
          <w:bCs/>
          <w:color w:val="1B2A4A"/>
        </w:rPr>
        <w:t xml:space="preserve">4d. Hydrogen Storage and the Battery Reality Check</w:t>
      </w:r>
      <w:bookmarkEnd w:id="1"/>
    </w:p>
    <w:p>
      <w:pPr>
        <w:spacing w:after="200" w:line="300"/>
      </w:pPr>
      <w:r>
        <w:rPr>
          <w:sz w:val="22"/>
          <w:szCs w:val="22"/>
        </w:rPr>
        <w:t xml:space="preserve">A hydrogen system without long-duration storage is not sovereign — it is fragile by design. A credible minimum reserve is 8 to 12 weeks of protected hydrogen demand; a stronger national target sits around 3 months; where geology and capital allow, 4 to 6 months represents the deepest strategic security position. Britain has some of the best salt cavern geology in Europe, particularly in Cheshire and East Yorkshire.</w:t>
      </w:r>
    </w:p>
    <w:p>
      <w:pPr>
        <w:spacing w:after="200" w:line="300"/>
      </w:pPr>
      <w:r>
        <w:rPr>
          <w:sz w:val="22"/>
          <w:szCs w:val="22"/>
        </w:rPr>
        <w:t xml:space="preserve">“Why not just use wind and solar with batteries?” is a fair question, worked through here with real numbers anyone can check. The UK consumes an average of ~30.7 GW of electricity continuously; on a cold winter evening, demand spikes to ~45–50 GW. A serious national battery must cover the worst case, not the average.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Metric</w:t>
            </w:r>
          </w:p>
        </w:tc>
        <w:tc>
          <w:tcPr>
            <w:tcW w:type="pct" w:w="33%"/>
            <w:shd w:fill="1B2A4A" w:val="clear"/>
            <w:tcMar>
              <w:top w:type="dxa" w:w="80"/>
              <w:left w:type="dxa" w:w="100"/>
              <w:bottom w:type="dxa" w:w="80"/>
              <w:right w:type="dxa" w:w="100"/>
            </w:tcMar>
          </w:tcPr>
          <w:p>
            <w:r>
              <w:rPr>
                <w:b/>
                <w:bCs/>
                <w:color w:val="FFFFFF"/>
                <w:sz w:val="19"/>
                <w:szCs w:val="19"/>
              </w:rPr>
              <w:t xml:space="preserve">2-Week National Battery</w:t>
            </w:r>
          </w:p>
        </w:tc>
        <w:tc>
          <w:tcPr>
            <w:tcW w:type="pct" w:w="33%"/>
            <w:shd w:fill="1B2A4A" w:val="clear"/>
            <w:tcMar>
              <w:top w:type="dxa" w:w="80"/>
              <w:left w:type="dxa" w:w="100"/>
              <w:bottom w:type="dxa" w:w="80"/>
              <w:right w:type="dxa" w:w="100"/>
            </w:tcMar>
          </w:tcPr>
          <w:p>
            <w:r>
              <w:rPr>
                <w:b/>
                <w:bCs/>
                <w:color w:val="FFFFFF"/>
                <w:sz w:val="19"/>
                <w:szCs w:val="19"/>
              </w:rPr>
              <w:t xml:space="preserve">CFF (28 Sites)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Cost</w:t>
            </w:r>
          </w:p>
        </w:tc>
        <w:tc>
          <w:tcPr>
            <w:tcW w:type="pct" w:w="33%"/>
            <w:tcMar>
              <w:top w:type="dxa" w:w="80"/>
              <w:left w:type="dxa" w:w="100"/>
              <w:bottom w:type="dxa" w:w="80"/>
              <w:right w:type="dxa" w:w="100"/>
            </w:tcMar>
          </w:tcPr>
          <w:p>
            <w:r>
              <w:rPr>
                <w:b w:val="false"/>
                <w:bCs w:val="false"/>
                <w:color w:val="000000"/>
                <w:sz w:val="19"/>
                <w:szCs w:val="19"/>
              </w:rPr>
              <w:t xml:space="preserve">£1.6–2.4 trillion</w:t>
            </w:r>
          </w:p>
        </w:tc>
        <w:tc>
          <w:tcPr>
            <w:tcW w:type="pct" w:w="33%"/>
            <w:tcMar>
              <w:top w:type="dxa" w:w="80"/>
              <w:left w:type="dxa" w:w="100"/>
              <w:bottom w:type="dxa" w:w="80"/>
              <w:right w:type="dxa" w:w="100"/>
            </w:tcMar>
          </w:tcPr>
          <w:p>
            <w:r>
              <w:rPr>
                <w:b w:val="false"/>
                <w:bCs w:val="false"/>
                <w:color w:val="000000"/>
                <w:sz w:val="19"/>
                <w:szCs w:val="19"/>
              </w:rPr>
              <w:t xml:space="preserve">£425 billion</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Lifespan before replacement</w:t>
            </w:r>
          </w:p>
        </w:tc>
        <w:tc>
          <w:tcPr>
            <w:tcW w:type="pct" w:w="33%"/>
            <w:tcMar>
              <w:top w:type="dxa" w:w="80"/>
              <w:left w:type="dxa" w:w="100"/>
              <w:bottom w:type="dxa" w:w="80"/>
              <w:right w:type="dxa" w:w="100"/>
            </w:tcMar>
          </w:tcPr>
          <w:p>
            <w:r>
              <w:rPr>
                <w:b w:val="false"/>
                <w:bCs w:val="false"/>
                <w:color w:val="000000"/>
                <w:sz w:val="19"/>
                <w:szCs w:val="19"/>
              </w:rPr>
              <w:t xml:space="preserve">10–15 years</w:t>
            </w:r>
          </w:p>
        </w:tc>
        <w:tc>
          <w:tcPr>
            <w:tcW w:type="pct" w:w="33%"/>
            <w:tcMar>
              <w:top w:type="dxa" w:w="80"/>
              <w:left w:type="dxa" w:w="100"/>
              <w:bottom w:type="dxa" w:w="80"/>
              <w:right w:type="dxa" w:w="100"/>
            </w:tcMar>
          </w:tcPr>
          <w:p>
            <w:r>
              <w:rPr>
                <w:b w:val="false"/>
                <w:bCs w:val="false"/>
                <w:color w:val="000000"/>
                <w:sz w:val="19"/>
                <w:szCs w:val="19"/>
              </w:rPr>
              <w:t xml:space="preserve">200 years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200-year total cost</w:t>
            </w:r>
          </w:p>
        </w:tc>
        <w:tc>
          <w:tcPr>
            <w:tcW w:type="pct" w:w="33%"/>
            <w:tcMar>
              <w:top w:type="dxa" w:w="80"/>
              <w:left w:type="dxa" w:w="100"/>
              <w:bottom w:type="dxa" w:w="80"/>
              <w:right w:type="dxa" w:w="100"/>
            </w:tcMar>
          </w:tcPr>
          <w:p>
            <w:r>
              <w:rPr>
                <w:b w:val="false"/>
                <w:bCs w:val="false"/>
                <w:color w:val="000000"/>
                <w:sz w:val="19"/>
                <w:szCs w:val="19"/>
              </w:rPr>
              <w:t xml:space="preserve">£21–32 trillion</w:t>
            </w:r>
          </w:p>
        </w:tc>
        <w:tc>
          <w:tcPr>
            <w:tcW w:type="pct" w:w="33%"/>
            <w:tcMar>
              <w:top w:type="dxa" w:w="80"/>
              <w:left w:type="dxa" w:w="100"/>
              <w:bottom w:type="dxa" w:w="80"/>
              <w:right w:type="dxa" w:w="100"/>
            </w:tcMar>
          </w:tcPr>
          <w:p>
            <w:r>
              <w:rPr>
                <w:b w:val="false"/>
                <w:bCs w:val="false"/>
                <w:color w:val="000000"/>
                <w:sz w:val="19"/>
                <w:szCs w:val="19"/>
              </w:rPr>
              <w:t xml:space="preserve">~£425 billion</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Raw materials required</w:t>
            </w:r>
          </w:p>
        </w:tc>
        <w:tc>
          <w:tcPr>
            <w:tcW w:type="pct" w:w="33%"/>
            <w:tcMar>
              <w:top w:type="dxa" w:w="80"/>
              <w:left w:type="dxa" w:w="100"/>
              <w:bottom w:type="dxa" w:w="80"/>
              <w:right w:type="dxa" w:w="100"/>
            </w:tcMar>
          </w:tcPr>
          <w:p>
            <w:r>
              <w:rPr>
                <w:b w:val="false"/>
                <w:bCs w:val="false"/>
                <w:color w:val="000000"/>
                <w:sz w:val="19"/>
                <w:szCs w:val="19"/>
              </w:rPr>
              <w:t xml:space="preserve">~62 million tonnes (weight of 620 aircraft carriers)</w:t>
            </w:r>
          </w:p>
        </w:tc>
        <w:tc>
          <w:tcPr>
            <w:tcW w:type="pct" w:w="33%"/>
            <w:tcMar>
              <w:top w:type="dxa" w:w="80"/>
              <w:left w:type="dxa" w:w="100"/>
              <w:bottom w:type="dxa" w:w="80"/>
              <w:right w:type="dxa" w:w="100"/>
            </w:tcMar>
          </w:tcPr>
          <w:p>
            <w:r>
              <w:rPr>
                <w:b w:val="false"/>
                <w:bCs w:val="false"/>
                <w:color w:val="000000"/>
                <w:sz w:val="19"/>
                <w:szCs w:val="19"/>
              </w:rPr>
              <w:t xml:space="preserve">Standard nuclear fuel</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Land area</w:t>
            </w:r>
          </w:p>
        </w:tc>
        <w:tc>
          <w:tcPr>
            <w:tcW w:type="pct" w:w="33%"/>
            <w:tcMar>
              <w:top w:type="dxa" w:w="80"/>
              <w:left w:type="dxa" w:w="100"/>
              <w:bottom w:type="dxa" w:w="80"/>
              <w:right w:type="dxa" w:w="100"/>
            </w:tcMar>
          </w:tcPr>
          <w:p>
            <w:r>
              <w:rPr>
                <w:b w:val="false"/>
                <w:bCs w:val="false"/>
                <w:color w:val="000000"/>
                <w:sz w:val="19"/>
                <w:szCs w:val="19"/>
              </w:rPr>
              <w:t xml:space="preserve">574–957 km² (bigger than the Isle of Man)</w:t>
            </w:r>
          </w:p>
        </w:tc>
        <w:tc>
          <w:tcPr>
            <w:tcW w:type="pct" w:w="33%"/>
            <w:tcMar>
              <w:top w:type="dxa" w:w="80"/>
              <w:left w:type="dxa" w:w="100"/>
              <w:bottom w:type="dxa" w:w="80"/>
              <w:right w:type="dxa" w:w="100"/>
            </w:tcMar>
          </w:tcPr>
          <w:p>
            <w:r>
              <w:rPr>
                <w:b w:val="false"/>
                <w:bCs w:val="false"/>
                <w:color w:val="000000"/>
                <w:sz w:val="19"/>
                <w:szCs w:val="19"/>
              </w:rPr>
              <w:t xml:space="preserve">1,344 hectares total across all 28 sites</w:t>
            </w:r>
          </w:p>
        </w:tc>
      </w:tr>
    </w:tbl>
    <w:p>
      <w:pPr>
        <w:spacing w:after="200"/>
      </w:pPr>
    </w:p>
    <w:p>
      <w:pPr>
        <w:spacing w:after="200" w:line="300"/>
      </w:pPr>
      <w:r>
        <w:rPr>
          <w:sz w:val="22"/>
          <w:szCs w:val="22"/>
        </w:rPr>
        <w:t xml:space="preserve">Batteries are excellent for short-duration balancing — smoothing a few hours of solar dip, absorbing an overnight wind surplus. Nobody argues against that role. But asking batteries to replace baseload power generation for weeks at a time is a different proposition entirely, and the numbers do not survive contact with reality.</w:t>
      </w:r>
    </w:p>
    <w:p>
      <w:pPr>
        <w:pStyle w:val="Heading2"/>
        <w:spacing w:after="160" w:before="300"/>
      </w:pPr>
      <w:bookmarkStart w:name="ch4e" w:id="1"/>
      <w:r>
        <w:rPr>
          <w:b/>
          <w:bCs/>
          <w:color w:val="1B2A4A"/>
        </w:rPr>
        <w:t xml:space="preserve">4e. Safe-Flex — Grid Backup Without a Battery</w:t>
      </w:r>
      <w:bookmarkEnd w:id="1"/>
    </w:p>
    <w:p>
      <w:pPr>
        <w:spacing w:after="200" w:line="300"/>
      </w:pPr>
      <w:r>
        <w:rPr>
          <w:sz w:val="22"/>
          <w:szCs w:val="22"/>
        </w:rPr>
        <w:t xml:space="preserve">Under normal operation, 100% of each site's 3.6 GWe powers hydrogen production — the grid doesn't need it because wind and solar are running. When renewables underperform, operators dial down HTSE on selected sites, freeing up to 1.8 GW per site for the grid.</w:t>
      </w:r>
    </w:p>
    <w:p>
      <w:pPr>
        <w:spacing w:after="200" w:line="300"/>
      </w:pPr>
      <w:r>
        <w:rPr>
          <w:sz w:val="22"/>
          <w:szCs w:val="22"/>
        </w:rPr>
        <w:t xml:space="preserve">This is not an on/off switch. A single site can dial down 2%, 24%, or the full 50%, whatever real-time grid telemetry calls for, and the response is geographically targeted — a local wind lull affecting the south coast means only the site(s) in that region respond. Full-fleet 50% engagement, up to ~51 GWe nationally, is reserved for genuine system-wide events such as a nationwide Dunkelflaute, and even then only draws what the grid actually needs at that moment.</w:t>
      </w:r>
    </w:p>
    <w:p>
      <w:pPr>
        <w:spacing w:after="200" w:line="300"/>
      </w:pPr>
      <w:r>
        <w:rPr>
          <w:sz w:val="22"/>
          <w:szCs w:val="22"/>
        </w:rPr>
        <w:t xml:space="preserve">Even at maximum 50% flex across all 28 sites, CFF still produces 29,008 tonnes/day of green hydrogen — enough to keep industry and freight running while up to ~50 GW of firm nuclear electricity flows to the grid. A gas peaker plant takes 10 to 30 minutes to start and burns carbon with every megawatt. Safe-Flex responds instantly, because the HTSE load reduction is an electrical control signal, not a mechanical startup.</w:t>
      </w:r>
    </w:p>
    <w:p>
      <w:pPr>
        <w:pStyle w:val="Heading2"/>
        <w:spacing w:after="160" w:before="300"/>
      </w:pPr>
      <w:bookmarkStart w:name="ch4f" w:id="1"/>
      <w:r>
        <w:rPr>
          <w:b/>
          <w:bCs/>
          <w:color w:val="1B2A4A"/>
        </w:rPr>
        <w:t xml:space="preserve">4f. The Grid Relief Dividend — What CFF Removes, Not Just What It Adds</w:t>
      </w:r>
      <w:bookmarkEnd w:id="1"/>
    </w:p>
    <w:p>
      <w:pPr>
        <w:spacing w:after="200" w:line="300"/>
      </w:pPr>
      <w:r>
        <w:rPr>
          <w:sz w:val="22"/>
          <w:szCs w:val="22"/>
        </w:rPr>
        <w:t xml:space="preserve">The government's own Clean Power 2030 pathway expects 77 to 82% of Britain's clean generation to come from wind and solar, with every home and every car ultimately plugged into that same grid — 28 million heat pumps and 33 million electric vehicles, simultaneously, through winter peaks, through cold snaps, through every dark windless evening. CFF's hydrogen surplus is sized specifically to stop that from ever being necessary, by taking the majority of homes and cars off the grid before the demand ever lands on it.</w:t>
      </w:r>
    </w:p>
    <w:p>
      <w:pPr>
        <w:spacing w:after="100" w:before="200"/>
      </w:pPr>
      <w:r>
        <w:rPr>
          <w:b/>
          <w:bCs/>
          <w:i/>
          <w:iCs/>
          <w:color w:val="1B2A4A"/>
          <w:sz w:val="22"/>
          <w:szCs w:val="22"/>
        </w:rPr>
        <w:t xml:space="preserve">Homes: 78% Removed From Grid Heating Demand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shd w:fill="1B2A4A" w:val="clear"/>
            <w:tcMar>
              <w:top w:type="dxa" w:w="80"/>
              <w:left w:type="dxa" w:w="100"/>
              <w:bottom w:type="dxa" w:w="80"/>
              <w:right w:type="dxa" w:w="100"/>
            </w:tcMar>
          </w:tcPr>
          <w:p>
            <w:r>
              <w:rPr>
                <w:b/>
                <w:bCs/>
                <w:color w:val="FFFFFF"/>
                <w:sz w:val="19"/>
                <w:szCs w:val="19"/>
              </w:rPr>
              <w:t xml:space="preserve">Segment</w:t>
            </w:r>
          </w:p>
        </w:tc>
        <w:tc>
          <w:tcPr>
            <w:tcW w:type="pct" w:w="25%"/>
            <w:shd w:fill="1B2A4A" w:val="clear"/>
            <w:tcMar>
              <w:top w:type="dxa" w:w="80"/>
              <w:left w:type="dxa" w:w="100"/>
              <w:bottom w:type="dxa" w:w="80"/>
              <w:right w:type="dxa" w:w="100"/>
            </w:tcMar>
          </w:tcPr>
          <w:p>
            <w:r>
              <w:rPr>
                <w:b/>
                <w:bCs/>
                <w:color w:val="FFFFFF"/>
                <w:sz w:val="19"/>
                <w:szCs w:val="19"/>
              </w:rPr>
              <w:t xml:space="preserve">Homes</w:t>
            </w:r>
          </w:p>
        </w:tc>
        <w:tc>
          <w:tcPr>
            <w:tcW w:type="pct" w:w="25%"/>
            <w:shd w:fill="1B2A4A" w:val="clear"/>
            <w:tcMar>
              <w:top w:type="dxa" w:w="80"/>
              <w:left w:type="dxa" w:w="100"/>
              <w:bottom w:type="dxa" w:w="80"/>
              <w:right w:type="dxa" w:w="100"/>
            </w:tcMar>
          </w:tcPr>
          <w:p>
            <w:r>
              <w:rPr>
                <w:b/>
                <w:bCs/>
                <w:color w:val="FFFFFF"/>
                <w:sz w:val="19"/>
                <w:szCs w:val="19"/>
              </w:rPr>
              <w:t xml:space="preserve">Method</w:t>
            </w:r>
          </w:p>
        </w:tc>
        <w:tc>
          <w:tcPr>
            <w:tcW w:type="pct" w:w="25%"/>
            <w:shd w:fill="1B2A4A" w:val="clear"/>
            <w:tcMar>
              <w:top w:type="dxa" w:w="80"/>
              <w:left w:type="dxa" w:w="100"/>
              <w:bottom w:type="dxa" w:w="80"/>
              <w:right w:type="dxa" w:w="100"/>
            </w:tcMar>
          </w:tcPr>
          <w:p>
            <w:r>
              <w:rPr>
                <w:b/>
                <w:bCs/>
                <w:color w:val="FFFFFF"/>
                <w:sz w:val="19"/>
                <w:szCs w:val="19"/>
              </w:rPr>
              <w:t xml:space="preserve">Grid Load</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Heat Halo</w:t>
            </w:r>
          </w:p>
        </w:tc>
        <w:tc>
          <w:tcPr>
            <w:tcW w:type="pct" w:w="25%"/>
            <w:tcMar>
              <w:top w:type="dxa" w:w="80"/>
              <w:left w:type="dxa" w:w="100"/>
              <w:bottom w:type="dxa" w:w="80"/>
              <w:right w:type="dxa" w:w="100"/>
            </w:tcMar>
          </w:tcPr>
          <w:p>
            <w:r>
              <w:rPr>
                <w:b w:val="false"/>
                <w:bCs w:val="false"/>
                <w:color w:val="000000"/>
                <w:sz w:val="19"/>
                <w:szCs w:val="19"/>
              </w:rPr>
              <w:t xml:space="preserve">7.84 million</w:t>
            </w:r>
          </w:p>
        </w:tc>
        <w:tc>
          <w:tcPr>
            <w:tcW w:type="pct" w:w="25%"/>
            <w:tcMar>
              <w:top w:type="dxa" w:w="80"/>
              <w:left w:type="dxa" w:w="100"/>
              <w:bottom w:type="dxa" w:w="80"/>
              <w:right w:type="dxa" w:w="100"/>
            </w:tcMar>
          </w:tcPr>
          <w:p>
            <w:r>
              <w:rPr>
                <w:b w:val="false"/>
                <w:bCs w:val="false"/>
                <w:color w:val="000000"/>
                <w:sz w:val="19"/>
                <w:szCs w:val="19"/>
              </w:rPr>
              <w:t xml:space="preserve">£500/yr — unlimited heat from waste heat</w:t>
            </w:r>
          </w:p>
        </w:tc>
        <w:tc>
          <w:tcPr>
            <w:tcW w:type="pct" w:w="25%"/>
            <w:tcMar>
              <w:top w:type="dxa" w:w="80"/>
              <w:left w:type="dxa" w:w="100"/>
              <w:bottom w:type="dxa" w:w="80"/>
              <w:right w:type="dxa" w:w="100"/>
            </w:tcMar>
          </w:tcPr>
          <w:p>
            <w:r>
              <w:rPr>
                <w:b w:val="false"/>
                <w:bCs w:val="false"/>
                <w:color w:val="000000"/>
                <w:sz w:val="19"/>
                <w:szCs w:val="19"/>
              </w:rPr>
              <w:t xml:space="preserve">Off-grid</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Hydrogen Boiler (70% of the rest)</w:t>
            </w:r>
          </w:p>
        </w:tc>
        <w:tc>
          <w:tcPr>
            <w:tcW w:type="pct" w:w="25%"/>
            <w:tcMar>
              <w:top w:type="dxa" w:w="80"/>
              <w:left w:type="dxa" w:w="100"/>
              <w:bottom w:type="dxa" w:w="80"/>
              <w:right w:type="dxa" w:w="100"/>
            </w:tcMar>
          </w:tcPr>
          <w:p>
            <w:r>
              <w:rPr>
                <w:b w:val="false"/>
                <w:bCs w:val="false"/>
                <w:color w:val="000000"/>
                <w:sz w:val="19"/>
                <w:szCs w:val="19"/>
              </w:rPr>
              <w:t xml:space="preserve">~14.11 million</w:t>
            </w:r>
          </w:p>
        </w:tc>
        <w:tc>
          <w:tcPr>
            <w:tcW w:type="pct" w:w="25%"/>
            <w:tcMar>
              <w:top w:type="dxa" w:w="80"/>
              <w:left w:type="dxa" w:w="100"/>
              <w:bottom w:type="dxa" w:w="80"/>
              <w:right w:type="dxa" w:w="100"/>
            </w:tcMar>
          </w:tcPr>
          <w:p>
            <w:r>
              <w:rPr>
                <w:b w:val="false"/>
                <w:bCs w:val="false"/>
                <w:color w:val="000000"/>
                <w:sz w:val="19"/>
                <w:szCs w:val="19"/>
              </w:rPr>
              <w:t xml:space="preserve">Hydrogen combustion</w:t>
            </w:r>
          </w:p>
        </w:tc>
        <w:tc>
          <w:tcPr>
            <w:tcW w:type="pct" w:w="25%"/>
            <w:tcMar>
              <w:top w:type="dxa" w:w="80"/>
              <w:left w:type="dxa" w:w="100"/>
              <w:bottom w:type="dxa" w:w="80"/>
              <w:right w:type="dxa" w:w="100"/>
            </w:tcMar>
          </w:tcPr>
          <w:p>
            <w:r>
              <w:rPr>
                <w:b w:val="false"/>
                <w:bCs w:val="false"/>
                <w:color w:val="000000"/>
                <w:sz w:val="19"/>
                <w:szCs w:val="19"/>
              </w:rPr>
              <w:t xml:space="preserve">Off-grid</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Air Source Heat Pump (30% of the rest)</w:t>
            </w:r>
          </w:p>
        </w:tc>
        <w:tc>
          <w:tcPr>
            <w:tcW w:type="pct" w:w="25%"/>
            <w:tcMar>
              <w:top w:type="dxa" w:w="80"/>
              <w:left w:type="dxa" w:w="100"/>
              <w:bottom w:type="dxa" w:w="80"/>
              <w:right w:type="dxa" w:w="100"/>
            </w:tcMar>
          </w:tcPr>
          <w:p>
            <w:r>
              <w:rPr>
                <w:b w:val="false"/>
                <w:bCs w:val="false"/>
                <w:color w:val="000000"/>
                <w:sz w:val="19"/>
                <w:szCs w:val="19"/>
              </w:rPr>
              <w:t xml:space="preserve">~6.05 million</w:t>
            </w:r>
          </w:p>
        </w:tc>
        <w:tc>
          <w:tcPr>
            <w:tcW w:type="pct" w:w="25%"/>
            <w:tcMar>
              <w:top w:type="dxa" w:w="80"/>
              <w:left w:type="dxa" w:w="100"/>
              <w:bottom w:type="dxa" w:w="80"/>
              <w:right w:type="dxa" w:w="100"/>
            </w:tcMar>
          </w:tcPr>
          <w:p>
            <w:r>
              <w:rPr>
                <w:b w:val="false"/>
                <w:bCs w:val="false"/>
                <w:color w:val="000000"/>
                <w:sz w:val="19"/>
                <w:szCs w:val="19"/>
              </w:rPr>
              <w:t xml:space="preserve">Electric heat pump</w:t>
            </w:r>
          </w:p>
        </w:tc>
        <w:tc>
          <w:tcPr>
            <w:tcW w:type="pct" w:w="25%"/>
            <w:tcMar>
              <w:top w:type="dxa" w:w="80"/>
              <w:left w:type="dxa" w:w="100"/>
              <w:bottom w:type="dxa" w:w="80"/>
              <w:right w:type="dxa" w:w="100"/>
            </w:tcMar>
          </w:tcPr>
          <w:p>
            <w:r>
              <w:rPr>
                <w:b w:val="false"/>
                <w:bCs w:val="false"/>
                <w:color w:val="000000"/>
                <w:sz w:val="19"/>
                <w:szCs w:val="19"/>
              </w:rPr>
              <w:t xml:space="preserve">On-grid</w:t>
            </w:r>
          </w:p>
        </w:tc>
      </w:tr>
    </w:tbl>
    <w:p>
      <w:pPr>
        <w:spacing w:after="200"/>
      </w:pPr>
    </w:p>
    <w:p>
      <w:pPr>
        <w:spacing w:after="200" w:line="300"/>
      </w:pPr>
      <w:r>
        <w:rPr>
          <w:sz w:val="22"/>
          <w:szCs w:val="22"/>
        </w:rPr>
        <w:t xml:space="preserve">Of Britain's roughly 28 million homes, the Heat Halo alone removes 7.84 million from the grid entirely, at a flat £500 a year, using heat the reactors produce anyway. Of the remainder, allocating hydrogen boilers to the 70% of older, harder-to-retrofit homes — exactly the housing stock discussed in Chapter 4a, the £20,000-plus retrofit properties — leaves just 6.05 million homes needing an electric heat pump and a grid connection for heating at all. That is 21.95 million homes, 78% of the national total, that need nothing from the electricity grid to stay warm.</w:t>
      </w:r>
    </w:p>
    <w:p>
      <w:pPr>
        <w:spacing w:after="100" w:before="200"/>
      </w:pPr>
      <w:r>
        <w:rPr>
          <w:b/>
          <w:bCs/>
          <w:i/>
          <w:iCs/>
          <w:color w:val="1B2A4A"/>
          <w:sz w:val="22"/>
          <w:szCs w:val="22"/>
        </w:rPr>
        <w:t xml:space="preserve">Cars: 60% Removed From Grid Charging Demand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shd w:fill="1B2A4A" w:val="clear"/>
            <w:tcMar>
              <w:top w:type="dxa" w:w="80"/>
              <w:left w:type="dxa" w:w="100"/>
              <w:bottom w:type="dxa" w:w="80"/>
              <w:right w:type="dxa" w:w="100"/>
            </w:tcMar>
          </w:tcPr>
          <w:p>
            <w:r>
              <w:rPr>
                <w:b/>
                <w:bCs/>
                <w:color w:val="FFFFFF"/>
                <w:sz w:val="19"/>
                <w:szCs w:val="19"/>
              </w:rPr>
              <w:t xml:space="preserve">Segment</w:t>
            </w:r>
          </w:p>
        </w:tc>
        <w:tc>
          <w:tcPr>
            <w:tcW w:type="pct" w:w="25%"/>
            <w:shd w:fill="1B2A4A" w:val="clear"/>
            <w:tcMar>
              <w:top w:type="dxa" w:w="80"/>
              <w:left w:type="dxa" w:w="100"/>
              <w:bottom w:type="dxa" w:w="80"/>
              <w:right w:type="dxa" w:w="100"/>
            </w:tcMar>
          </w:tcPr>
          <w:p>
            <w:r>
              <w:rPr>
                <w:b/>
                <w:bCs/>
                <w:color w:val="FFFFFF"/>
                <w:sz w:val="19"/>
                <w:szCs w:val="19"/>
              </w:rPr>
              <w:t xml:space="preserve">Vehicles</w:t>
            </w:r>
          </w:p>
        </w:tc>
        <w:tc>
          <w:tcPr>
            <w:tcW w:type="pct" w:w="25%"/>
            <w:shd w:fill="1B2A4A" w:val="clear"/>
            <w:tcMar>
              <w:top w:type="dxa" w:w="80"/>
              <w:left w:type="dxa" w:w="100"/>
              <w:bottom w:type="dxa" w:w="80"/>
              <w:right w:type="dxa" w:w="100"/>
            </w:tcMar>
          </w:tcPr>
          <w:p>
            <w:r>
              <w:rPr>
                <w:b/>
                <w:bCs/>
                <w:color w:val="FFFFFF"/>
                <w:sz w:val="19"/>
                <w:szCs w:val="19"/>
              </w:rPr>
              <w:t xml:space="preserve">Fuel</w:t>
            </w:r>
          </w:p>
        </w:tc>
        <w:tc>
          <w:tcPr>
            <w:tcW w:type="pct" w:w="25%"/>
            <w:shd w:fill="1B2A4A" w:val="clear"/>
            <w:tcMar>
              <w:top w:type="dxa" w:w="80"/>
              <w:left w:type="dxa" w:w="100"/>
              <w:bottom w:type="dxa" w:w="80"/>
              <w:right w:type="dxa" w:w="100"/>
            </w:tcMar>
          </w:tcPr>
          <w:p>
            <w:r>
              <w:rPr>
                <w:b/>
                <w:bCs/>
                <w:color w:val="FFFFFF"/>
                <w:sz w:val="19"/>
                <w:szCs w:val="19"/>
              </w:rPr>
              <w:t xml:space="preserve">Grid Load</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Hydrogen Fuel Cell (60%)</w:t>
            </w:r>
          </w:p>
        </w:tc>
        <w:tc>
          <w:tcPr>
            <w:tcW w:type="pct" w:w="25%"/>
            <w:tcMar>
              <w:top w:type="dxa" w:w="80"/>
              <w:left w:type="dxa" w:w="100"/>
              <w:bottom w:type="dxa" w:w="80"/>
              <w:right w:type="dxa" w:w="100"/>
            </w:tcMar>
          </w:tcPr>
          <w:p>
            <w:r>
              <w:rPr>
                <w:b w:val="false"/>
                <w:bCs w:val="false"/>
                <w:color w:val="000000"/>
                <w:sz w:val="19"/>
                <w:szCs w:val="19"/>
              </w:rPr>
              <w:t xml:space="preserve">~19.8 million</w:t>
            </w:r>
          </w:p>
        </w:tc>
        <w:tc>
          <w:tcPr>
            <w:tcW w:type="pct" w:w="25%"/>
            <w:tcMar>
              <w:top w:type="dxa" w:w="80"/>
              <w:left w:type="dxa" w:w="100"/>
              <w:bottom w:type="dxa" w:w="80"/>
              <w:right w:type="dxa" w:w="100"/>
            </w:tcMar>
          </w:tcPr>
          <w:p>
            <w:r>
              <w:rPr>
                <w:b w:val="false"/>
                <w:bCs w:val="false"/>
                <w:color w:val="000000"/>
                <w:sz w:val="19"/>
                <w:szCs w:val="19"/>
              </w:rPr>
              <w:t xml:space="preserve">Hydrogen fuel cell — refuels in minutes</w:t>
            </w:r>
          </w:p>
        </w:tc>
        <w:tc>
          <w:tcPr>
            <w:tcW w:type="pct" w:w="25%"/>
            <w:tcMar>
              <w:top w:type="dxa" w:w="80"/>
              <w:left w:type="dxa" w:w="100"/>
              <w:bottom w:type="dxa" w:w="80"/>
              <w:right w:type="dxa" w:w="100"/>
            </w:tcMar>
          </w:tcPr>
          <w:p>
            <w:r>
              <w:rPr>
                <w:b w:val="false"/>
                <w:bCs w:val="false"/>
                <w:color w:val="000000"/>
                <w:sz w:val="19"/>
                <w:szCs w:val="19"/>
              </w:rPr>
              <w:t xml:space="preserve">Off-grid</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Battery Electric (40%)</w:t>
            </w:r>
          </w:p>
        </w:tc>
        <w:tc>
          <w:tcPr>
            <w:tcW w:type="pct" w:w="25%"/>
            <w:tcMar>
              <w:top w:type="dxa" w:w="80"/>
              <w:left w:type="dxa" w:w="100"/>
              <w:bottom w:type="dxa" w:w="80"/>
              <w:right w:type="dxa" w:w="100"/>
            </w:tcMar>
          </w:tcPr>
          <w:p>
            <w:r>
              <w:rPr>
                <w:b w:val="false"/>
                <w:bCs w:val="false"/>
                <w:color w:val="000000"/>
                <w:sz w:val="19"/>
                <w:szCs w:val="19"/>
              </w:rPr>
              <w:t xml:space="preserve">~13.2 million</w:t>
            </w:r>
          </w:p>
        </w:tc>
        <w:tc>
          <w:tcPr>
            <w:tcW w:type="pct" w:w="25%"/>
            <w:tcMar>
              <w:top w:type="dxa" w:w="80"/>
              <w:left w:type="dxa" w:w="100"/>
              <w:bottom w:type="dxa" w:w="80"/>
              <w:right w:type="dxa" w:w="100"/>
            </w:tcMar>
          </w:tcPr>
          <w:p>
            <w:r>
              <w:rPr>
                <w:b w:val="false"/>
                <w:bCs w:val="false"/>
                <w:color w:val="000000"/>
                <w:sz w:val="19"/>
                <w:szCs w:val="19"/>
              </w:rPr>
              <w:t xml:space="preserve">Battery electric — home or public charging</w:t>
            </w:r>
          </w:p>
        </w:tc>
        <w:tc>
          <w:tcPr>
            <w:tcW w:type="pct" w:w="25%"/>
            <w:tcMar>
              <w:top w:type="dxa" w:w="80"/>
              <w:left w:type="dxa" w:w="100"/>
              <w:bottom w:type="dxa" w:w="80"/>
              <w:right w:type="dxa" w:w="100"/>
            </w:tcMar>
          </w:tcPr>
          <w:p>
            <w:r>
              <w:rPr>
                <w:b w:val="false"/>
                <w:bCs w:val="false"/>
                <w:color w:val="000000"/>
                <w:sz w:val="19"/>
                <w:szCs w:val="19"/>
              </w:rPr>
              <w:t xml:space="preserve">On-grid</w:t>
            </w:r>
          </w:p>
        </w:tc>
      </w:tr>
    </w:tbl>
    <w:p>
      <w:pPr>
        <w:spacing w:after="200"/>
      </w:pPr>
    </w:p>
    <w:p>
      <w:pPr>
        <w:spacing w:after="200" w:line="300"/>
      </w:pPr>
      <w:r>
        <w:rPr>
          <w:sz w:val="22"/>
          <w:szCs w:val="22"/>
        </w:rPr>
        <w:t xml:space="preserve">Of Britain's roughly 33 million cars, a 60/40 split toward hydrogen fuel cell vehicles for motorway commuters, long-haul drivers, and anyone without off-street parking to charge from overnight removes 19.8 million cars, 60% of the fleet, from grid charging demand entirely — refuelled at a pump in minutes, the way petrol is today, with no dependency on a home charger, a driveway, or an out-of-warranty battery replacement bill running £5,000 to £15,000.</w:t>
      </w:r>
    </w:p>
    <w:p>
      <w:pPr>
        <w:spacing w:after="200" w:line="300"/>
      </w:pPr>
      <w:r>
        <w:rPr>
          <w:sz w:val="22"/>
          <w:szCs w:val="22"/>
        </w:rPr>
        <w:t xml:space="preserve">The hydrogen required for this — roughly 224 TWh/yr for home heating plus 81 TWh/yr for transport, around 305 TWh/yr in total — is covered by CFF's sovereign surplus of approximately 303 TWh/yr, a gap of under 1%, comfortably absorbed by seasonal efficiency variation or a fractional draw on the strategic 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Metric</w:t>
            </w:r>
          </w:p>
        </w:tc>
        <w:tc>
          <w:tcPr>
            <w:tcW w:type="pct" w:w="33%"/>
            <w:shd w:fill="1B2A4A" w:val="clear"/>
            <w:tcMar>
              <w:top w:type="dxa" w:w="80"/>
              <w:left w:type="dxa" w:w="100"/>
              <w:bottom w:type="dxa" w:w="80"/>
              <w:right w:type="dxa" w:w="100"/>
            </w:tcMar>
          </w:tcPr>
          <w:p>
            <w:r>
              <w:rPr>
                <w:b/>
                <w:bCs/>
                <w:color w:val="FFFFFF"/>
                <w:sz w:val="19"/>
                <w:szCs w:val="19"/>
              </w:rPr>
              <w:t xml:space="preserve">Without CFF (pure electrification)</w:t>
            </w:r>
          </w:p>
        </w:tc>
        <w:tc>
          <w:tcPr>
            <w:tcW w:type="pct" w:w="33%"/>
            <w:shd w:fill="1B2A4A" w:val="clear"/>
            <w:tcMar>
              <w:top w:type="dxa" w:w="80"/>
              <w:left w:type="dxa" w:w="100"/>
              <w:bottom w:type="dxa" w:w="80"/>
              <w:right w:type="dxa" w:w="100"/>
            </w:tcMar>
          </w:tcPr>
          <w:p>
            <w:r>
              <w:rPr>
                <w:b/>
                <w:bCs/>
                <w:color w:val="FFFFFF"/>
                <w:sz w:val="19"/>
                <w:szCs w:val="19"/>
              </w:rPr>
              <w:t xml:space="preserve">With CFF</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Homes needing grid-connected heating</w:t>
            </w:r>
          </w:p>
        </w:tc>
        <w:tc>
          <w:tcPr>
            <w:tcW w:type="pct" w:w="33%"/>
            <w:tcMar>
              <w:top w:type="dxa" w:w="80"/>
              <w:left w:type="dxa" w:w="100"/>
              <w:bottom w:type="dxa" w:w="80"/>
              <w:right w:type="dxa" w:w="100"/>
            </w:tcMar>
          </w:tcPr>
          <w:p>
            <w:r>
              <w:rPr>
                <w:b w:val="false"/>
                <w:bCs w:val="false"/>
                <w:color w:val="000000"/>
                <w:sz w:val="19"/>
                <w:szCs w:val="19"/>
              </w:rPr>
              <w:t xml:space="preserve">28 million heat pumps</w:t>
            </w:r>
          </w:p>
        </w:tc>
        <w:tc>
          <w:tcPr>
            <w:tcW w:type="pct" w:w="33%"/>
            <w:tcMar>
              <w:top w:type="dxa" w:w="80"/>
              <w:left w:type="dxa" w:w="100"/>
              <w:bottom w:type="dxa" w:w="80"/>
              <w:right w:type="dxa" w:w="100"/>
            </w:tcMar>
          </w:tcPr>
          <w:p>
            <w:r>
              <w:rPr>
                <w:b w:val="false"/>
                <w:bCs w:val="false"/>
                <w:color w:val="000000"/>
                <w:sz w:val="19"/>
                <w:szCs w:val="19"/>
              </w:rPr>
              <w:t xml:space="preserve">6.05 million ASHPs (78% off-grid)</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Cars needing grid charging</w:t>
            </w:r>
          </w:p>
        </w:tc>
        <w:tc>
          <w:tcPr>
            <w:tcW w:type="pct" w:w="33%"/>
            <w:tcMar>
              <w:top w:type="dxa" w:w="80"/>
              <w:left w:type="dxa" w:w="100"/>
              <w:bottom w:type="dxa" w:w="80"/>
              <w:right w:type="dxa" w:w="100"/>
            </w:tcMar>
          </w:tcPr>
          <w:p>
            <w:r>
              <w:rPr>
                <w:b w:val="false"/>
                <w:bCs w:val="false"/>
                <w:color w:val="000000"/>
                <w:sz w:val="19"/>
                <w:szCs w:val="19"/>
              </w:rPr>
              <w:t xml:space="preserve">33 million BEVs</w:t>
            </w:r>
          </w:p>
        </w:tc>
        <w:tc>
          <w:tcPr>
            <w:tcW w:type="pct" w:w="33%"/>
            <w:tcMar>
              <w:top w:type="dxa" w:w="80"/>
              <w:left w:type="dxa" w:w="100"/>
              <w:bottom w:type="dxa" w:w="80"/>
              <w:right w:type="dxa" w:w="100"/>
            </w:tcMar>
          </w:tcPr>
          <w:p>
            <w:r>
              <w:rPr>
                <w:b w:val="false"/>
                <w:bCs w:val="false"/>
                <w:color w:val="000000"/>
                <w:sz w:val="19"/>
                <w:szCs w:val="19"/>
              </w:rPr>
              <w:t xml:space="preserve">13.2 million BEVs (60% off-grid)</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What the grid has to be built to carry</w:t>
            </w:r>
          </w:p>
        </w:tc>
        <w:tc>
          <w:tcPr>
            <w:tcW w:type="pct" w:w="33%"/>
            <w:tcMar>
              <w:top w:type="dxa" w:w="80"/>
              <w:left w:type="dxa" w:w="100"/>
              <w:bottom w:type="dxa" w:w="80"/>
              <w:right w:type="dxa" w:w="100"/>
            </w:tcMar>
          </w:tcPr>
          <w:p>
            <w:r>
              <w:rPr>
                <w:b w:val="false"/>
                <w:bCs w:val="false"/>
                <w:color w:val="000000"/>
                <w:sz w:val="19"/>
                <w:szCs w:val="19"/>
              </w:rPr>
              <w:t xml:space="preserve">Full national heating and transport load, simultaneously, every winter peak</w:t>
            </w:r>
          </w:p>
        </w:tc>
        <w:tc>
          <w:tcPr>
            <w:tcW w:type="pct" w:w="33%"/>
            <w:tcMar>
              <w:top w:type="dxa" w:w="80"/>
              <w:left w:type="dxa" w:w="100"/>
              <w:bottom w:type="dxa" w:w="80"/>
              <w:right w:type="dxa" w:w="100"/>
            </w:tcMar>
          </w:tcPr>
          <w:p>
            <w:r>
              <w:rPr>
                <w:b w:val="false"/>
                <w:bCs w:val="false"/>
                <w:color w:val="000000"/>
                <w:sz w:val="19"/>
                <w:szCs w:val="19"/>
              </w:rPr>
              <w:t xml:space="preserve">A fraction of both — substations, transformers, and street cabling sized accordingly</w:t>
            </w:r>
          </w:p>
        </w:tc>
      </w:tr>
    </w:tbl>
    <w:p>
      <w:pPr>
        <w:spacing w:after="200"/>
      </w:pPr>
    </w:p>
    <w:p>
      <w:pPr>
        <w:spacing w:after="200" w:line="300"/>
      </w:pPr>
      <w:r>
        <w:rPr>
          <w:sz w:val="22"/>
          <w:szCs w:val="22"/>
        </w:rPr>
        <w:t xml:space="preserve">That is not a marginal adjustment to the transmission and distribution upgrade bill already facing the country — it is a fundamental reduction in the infrastructure the grid has to carry in the first place, achieved before a single new substation or street cable is costed, let alone built.</w:t>
      </w:r>
    </w:p>
    <w:p>
      <w:r>
        <w:br w:type="page"/>
      </w:r>
    </w:p>
    <w:p>
      <w:pPr>
        <w:pStyle w:val="Heading1"/>
      </w:pPr>
      <w:bookmarkStart w:name="ch5" w:id="1"/>
      <w:r>
        <w:rPr>
          <w:color w:val="9C7A2E"/>
          <w:sz w:val="22"/>
          <w:szCs w:val="22"/>
        </w:rPr>
        <w:t xml:space="preserve">Chapter 5 — The Delivery Plan</w:t>
      </w:r>
      <w:bookmarkEnd w:id="1"/>
    </w:p>
    <w:p>
      <w:pPr>
        <w:spacing w:after="240" w:before="60"/>
      </w:pPr>
      <w:r>
        <w:rPr>
          <w:b/>
          <w:bCs/>
          <w:color w:val="1B2A4A"/>
          <w:sz w:val="40"/>
          <w:szCs w:val="40"/>
        </w:rPr>
        <w:t xml:space="preserve">The Delivery Plan</w:t>
      </w:r>
    </w:p>
    <w:p>
      <w:pPr>
        <w:spacing w:after="300" w:line="300"/>
      </w:pPr>
      <w:r>
        <w:rPr>
          <w:i/>
          <w:iCs/>
          <w:color w:val="333333"/>
          <w:sz w:val="22"/>
          <w:szCs w:val="22"/>
        </w:rPr>
        <w:t xml:space="preserve">A five-phase, risk-managed rollout from licensing through to a 200-year operational horizon. £425 billion programme cost — roughly £15 billion per complete site at series-production scale, plus £5 billion licensing. £50 billion a year in displaced fossil fuel imports. £2,500 billion in lifetime savings.</w:t>
      </w:r>
    </w:p>
    <w:p>
      <w:pPr>
        <w:pStyle w:val="Heading2"/>
        <w:spacing w:after="160" w:before="300"/>
      </w:pPr>
      <w:bookmarkStart w:name="ch5a" w:id="1"/>
      <w:r>
        <w:rPr>
          <w:b/>
          <w:bCs/>
          <w:color w:val="1B2A4A"/>
        </w:rPr>
        <w:t xml:space="preserve">5a. The Master Timeline</w:t>
      </w:r>
      <w:bookmarkEnd w:id="1"/>
    </w:p>
    <w:p>
      <w:pPr>
        <w:pStyle w:val="ListParagraph"/>
        <w:numPr>
          <w:ilvl w:val="0"/>
          <w:numId w:val="1"/>
        </w:numPr>
        <w:spacing w:after="120" w:line="280"/>
      </w:pPr>
      <w:r>
        <w:rPr>
          <w:sz w:val="22"/>
          <w:szCs w:val="22"/>
        </w:rPr>
        <w:t xml:space="preserve">Phase 1 — Licensing &amp; Site Selection (2025–2030): 5 years, ~£5B. Generic Design Assessment submission to the ONR, Environmental Impact Assessments for all 28 candidate sites, seabed surveys, workforce training initiation, and international collaboration agreements with Japan (JAEA) and China (CNNC).</w:t>
      </w:r>
    </w:p>
    <w:p>
      <w:pPr>
        <w:pStyle w:val="ListParagraph"/>
        <w:numPr>
          <w:ilvl w:val="0"/>
          <w:numId w:val="1"/>
        </w:numPr>
        <w:spacing w:after="120" w:line="280"/>
      </w:pPr>
      <w:r>
        <w:rPr>
          <w:sz w:val="22"/>
          <w:szCs w:val="22"/>
        </w:rPr>
        <w:t xml:space="preserve">Phase 2 — First Site (2030–2035): 1 site, ~£15B full build, 48 HTGR modules, 3.6 GWe. Stage 1 (reactors plus grid connection) proves the power generation model and earns revenue from day one. First sites use imported HTGR modules from established manufacturers while UK reactor factories are built in parallel.</w:t>
      </w:r>
    </w:p>
    <w:p>
      <w:pPr>
        <w:pStyle w:val="ListParagraph"/>
        <w:numPr>
          <w:ilvl w:val="0"/>
          <w:numId w:val="1"/>
        </w:numPr>
        <w:spacing w:after="120" w:line="280"/>
      </w:pPr>
      <w:r>
        <w:rPr>
          <w:sz w:val="22"/>
          <w:szCs w:val="22"/>
        </w:rPr>
        <w:t xml:space="preserve">Phase 3 — Fleet Build-Out (2035–2050): 27 remaining sites in 4 tranches of 7. At peak, 4–5 sites under simultaneous construction, ~120 HTGR modules manufactured per year from a dedicated UK modular reactor factory. Fleet revenue progressively replaces government co-funding.</w:t>
      </w:r>
    </w:p>
    <w:p>
      <w:pPr>
        <w:pStyle w:val="ListParagraph"/>
        <w:numPr>
          <w:ilvl w:val="0"/>
          <w:numId w:val="1"/>
        </w:numPr>
        <w:spacing w:after="120" w:line="280"/>
      </w:pPr>
      <w:r>
        <w:rPr>
          <w:sz w:val="22"/>
          <w:szCs w:val="22"/>
        </w:rPr>
        <w:t xml:space="preserve">Phase 4 — Full Operation (2050–2110): All 28 sites at full capacity. 21.2 Mt H₂/year, 101.3 GWe flexible electricity, zero fossil fuel imports, hydrogen export programme begins. Net economic value: ~£42B/year after all costs.</w:t>
      </w:r>
    </w:p>
    <w:p>
      <w:pPr>
        <w:pStyle w:val="ListParagraph"/>
        <w:numPr>
          <w:ilvl w:val="0"/>
          <w:numId w:val="1"/>
        </w:numPr>
        <w:spacing w:after="120" w:line="280"/>
      </w:pPr>
      <w:r>
        <w:rPr>
          <w:sz w:val="22"/>
          <w:szCs w:val="22"/>
        </w:rPr>
        <w:t xml:space="preserve">Phase 5 — Generation 2 Replacement (2090–2155): Rolling replacement of original HTGR modules, site by site, with no site ever going fully offline. A third generation (2150–2235) extends sovereignty past 200 years.</w:t>
      </w:r>
    </w:p>
    <w:p>
      <w:pPr>
        <w:pStyle w:val="Heading2"/>
        <w:spacing w:after="160" w:before="300"/>
      </w:pPr>
      <w:bookmarkStart w:name="ch5b" w:id="1"/>
      <w:r>
        <w:rPr>
          <w:b/>
          <w:bCs/>
          <w:color w:val="1B2A4A"/>
        </w:rPr>
        <w:t xml:space="preserve">5b. What Happens Without CFF</w:t>
      </w:r>
      <w:bookmarkEnd w:id="1"/>
    </w:p>
    <w:p>
      <w:pPr>
        <w:spacing w:after="200" w:line="300"/>
      </w:pPr>
      <w:r>
        <w:rPr>
          <w:sz w:val="22"/>
          <w:szCs w:val="22"/>
        </w:rPr>
        <w:t xml:space="preserve">Every year of delay leaves the UK exposed to system stress, imported fuel pressure, industrial decline, and a weaker ability to protect households and production in a crisis.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Risk Area</w:t>
            </w:r>
          </w:p>
        </w:tc>
        <w:tc>
          <w:tcPr>
            <w:tcW w:type="pct" w:w="33%"/>
            <w:shd w:fill="1B2A4A" w:val="clear"/>
            <w:tcMar>
              <w:top w:type="dxa" w:w="80"/>
              <w:left w:type="dxa" w:w="100"/>
              <w:bottom w:type="dxa" w:w="80"/>
              <w:right w:type="dxa" w:w="100"/>
            </w:tcMar>
          </w:tcPr>
          <w:p>
            <w:r>
              <w:rPr>
                <w:b/>
                <w:bCs/>
                <w:color w:val="FFFFFF"/>
                <w:sz w:val="19"/>
                <w:szCs w:val="19"/>
              </w:rPr>
              <w:t xml:space="preserve">Without CFF</w:t>
            </w:r>
          </w:p>
        </w:tc>
        <w:tc>
          <w:tcPr>
            <w:tcW w:type="pct" w:w="33%"/>
            <w:shd w:fill="1B2A4A" w:val="clear"/>
            <w:tcMar>
              <w:top w:type="dxa" w:w="80"/>
              <w:left w:type="dxa" w:w="100"/>
              <w:bottom w:type="dxa" w:w="80"/>
              <w:right w:type="dxa" w:w="100"/>
            </w:tcMar>
          </w:tcPr>
          <w:p>
            <w:r>
              <w:rPr>
                <w:b/>
                <w:bCs/>
                <w:color w:val="FFFFFF"/>
                <w:sz w:val="19"/>
                <w:szCs w:val="19"/>
              </w:rPr>
              <w:t xml:space="preserve">With CFF</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Blackouts &amp; system stress</w:t>
            </w:r>
          </w:p>
        </w:tc>
        <w:tc>
          <w:tcPr>
            <w:tcW w:type="pct" w:w="33%"/>
            <w:tcMar>
              <w:top w:type="dxa" w:w="80"/>
              <w:left w:type="dxa" w:w="100"/>
              <w:bottom w:type="dxa" w:w="80"/>
              <w:right w:type="dxa" w:w="100"/>
            </w:tcMar>
          </w:tcPr>
          <w:p>
            <w:r>
              <w:rPr>
                <w:b w:val="false"/>
                <w:bCs w:val="false"/>
                <w:color w:val="000000"/>
                <w:sz w:val="19"/>
                <w:szCs w:val="19"/>
              </w:rPr>
              <w:t xml:space="preserve">Exposed to tight winter margins and low-wind stress events</w:t>
            </w:r>
          </w:p>
        </w:tc>
        <w:tc>
          <w:tcPr>
            <w:tcW w:type="pct" w:w="33%"/>
            <w:tcMar>
              <w:top w:type="dxa" w:w="80"/>
              <w:left w:type="dxa" w:w="100"/>
              <w:bottom w:type="dxa" w:w="80"/>
              <w:right w:type="dxa" w:w="100"/>
            </w:tcMar>
          </w:tcPr>
          <w:p>
            <w:r>
              <w:rPr>
                <w:b w:val="false"/>
                <w:bCs w:val="false"/>
                <w:color w:val="000000"/>
                <w:sz w:val="19"/>
                <w:szCs w:val="19"/>
              </w:rPr>
              <w:t xml:space="preserve">Up to ~50 GW of firm nuclear power redirected via Safe-Flex during system stress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Winter heating</w:t>
            </w:r>
          </w:p>
        </w:tc>
        <w:tc>
          <w:tcPr>
            <w:tcW w:type="pct" w:w="33%"/>
            <w:tcMar>
              <w:top w:type="dxa" w:w="80"/>
              <w:left w:type="dxa" w:w="100"/>
              <w:bottom w:type="dxa" w:w="80"/>
              <w:right w:type="dxa" w:w="100"/>
            </w:tcMar>
          </w:tcPr>
          <w:p>
            <w:r>
              <w:rPr>
                <w:b w:val="false"/>
                <w:bCs w:val="false"/>
                <w:color w:val="000000"/>
                <w:sz w:val="19"/>
                <w:szCs w:val="19"/>
              </w:rPr>
              <w:t xml:space="preserve">Volatile heating costs, continued gas dependence</w:t>
            </w:r>
          </w:p>
        </w:tc>
        <w:tc>
          <w:tcPr>
            <w:tcW w:type="pct" w:w="33%"/>
            <w:tcMar>
              <w:top w:type="dxa" w:w="80"/>
              <w:left w:type="dxa" w:w="100"/>
              <w:bottom w:type="dxa" w:w="80"/>
              <w:right w:type="dxa" w:w="100"/>
            </w:tcMar>
          </w:tcPr>
          <w:p>
            <w:r>
              <w:rPr>
                <w:b w:val="false"/>
                <w:bCs w:val="false"/>
                <w:color w:val="000000"/>
                <w:sz w:val="19"/>
                <w:szCs w:val="19"/>
              </w:rPr>
              <w:t xml:space="preserve">Heat Halo at a flat £500/year for up to 7.84 million homes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Energy bill exposure</w:t>
            </w:r>
          </w:p>
        </w:tc>
        <w:tc>
          <w:tcPr>
            <w:tcW w:type="pct" w:w="33%"/>
            <w:tcMar>
              <w:top w:type="dxa" w:w="80"/>
              <w:left w:type="dxa" w:w="100"/>
              <w:bottom w:type="dxa" w:w="80"/>
              <w:right w:type="dxa" w:w="100"/>
            </w:tcMar>
          </w:tcPr>
          <w:p>
            <w:r>
              <w:rPr>
                <w:b w:val="false"/>
                <w:bCs w:val="false"/>
                <w:color w:val="000000"/>
                <w:sz w:val="19"/>
                <w:szCs w:val="19"/>
              </w:rPr>
              <w:t xml:space="preserve">Vulnerable to imported fuel shocks and wholesale surges</w:t>
            </w:r>
          </w:p>
        </w:tc>
        <w:tc>
          <w:tcPr>
            <w:tcW w:type="pct" w:w="33%"/>
            <w:tcMar>
              <w:top w:type="dxa" w:w="80"/>
              <w:left w:type="dxa" w:w="100"/>
              <w:bottom w:type="dxa" w:w="80"/>
              <w:right w:type="dxa" w:w="100"/>
            </w:tcMar>
          </w:tcPr>
          <w:p>
            <w:r>
              <w:rPr>
                <w:b w:val="false"/>
                <w:bCs w:val="false"/>
                <w:color w:val="000000"/>
                <w:sz w:val="19"/>
                <w:szCs w:val="19"/>
              </w:rPr>
              <w:t xml:space="preserve">Sovereign generation supports more stable long-term pricing</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Freight &amp; strategic fuel</w:t>
            </w:r>
          </w:p>
        </w:tc>
        <w:tc>
          <w:tcPr>
            <w:tcW w:type="pct" w:w="33%"/>
            <w:tcMar>
              <w:top w:type="dxa" w:w="80"/>
              <w:left w:type="dxa" w:w="100"/>
              <w:bottom w:type="dxa" w:w="80"/>
              <w:right w:type="dxa" w:w="100"/>
            </w:tcMar>
          </w:tcPr>
          <w:p>
            <w:r>
              <w:rPr>
                <w:b w:val="false"/>
                <w:bCs w:val="false"/>
                <w:color w:val="000000"/>
                <w:sz w:val="19"/>
                <w:szCs w:val="19"/>
              </w:rPr>
              <w:t xml:space="preserve">Tied to imported hydrocarbons</w:t>
            </w:r>
          </w:p>
        </w:tc>
        <w:tc>
          <w:tcPr>
            <w:tcW w:type="pct" w:w="33%"/>
            <w:tcMar>
              <w:top w:type="dxa" w:w="80"/>
              <w:left w:type="dxa" w:w="100"/>
              <w:bottom w:type="dxa" w:w="80"/>
              <w:right w:type="dxa" w:w="100"/>
            </w:tcMar>
          </w:tcPr>
          <w:p>
            <w:r>
              <w:rPr>
                <w:b w:val="false"/>
                <w:bCs w:val="false"/>
                <w:color w:val="000000"/>
                <w:sz w:val="19"/>
                <w:szCs w:val="19"/>
              </w:rPr>
              <w:t xml:space="preserve">British-made hydrogen reserved for freight and hard-to-abate industry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Water security</w:t>
            </w:r>
          </w:p>
        </w:tc>
        <w:tc>
          <w:tcPr>
            <w:tcW w:type="pct" w:w="33%"/>
            <w:tcMar>
              <w:top w:type="dxa" w:w="80"/>
              <w:left w:type="dxa" w:w="100"/>
              <w:bottom w:type="dxa" w:w="80"/>
              <w:right w:type="dxa" w:w="100"/>
            </w:tcMar>
          </w:tcPr>
          <w:p>
            <w:r>
              <w:rPr>
                <w:b w:val="false"/>
                <w:bCs w:val="false"/>
                <w:color w:val="000000"/>
                <w:sz w:val="19"/>
                <w:szCs w:val="19"/>
              </w:rPr>
              <w:t xml:space="preserve">Exposed to drought and rainfall volatility</w:t>
            </w:r>
          </w:p>
        </w:tc>
        <w:tc>
          <w:tcPr>
            <w:tcW w:type="pct" w:w="33%"/>
            <w:tcMar>
              <w:top w:type="dxa" w:w="80"/>
              <w:left w:type="dxa" w:w="100"/>
              <w:bottom w:type="dxa" w:w="80"/>
              <w:right w:type="dxa" w:w="100"/>
            </w:tcMar>
          </w:tcPr>
          <w:p>
            <w:r>
              <w:rPr>
                <w:b w:val="false"/>
                <w:bCs w:val="false"/>
                <w:color w:val="000000"/>
                <w:sz w:val="19"/>
                <w:szCs w:val="19"/>
              </w:rPr>
              <w:t xml:space="preserve">1.4 million m³/day of desalinated strategic reserve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Industrial decline</w:t>
            </w:r>
          </w:p>
        </w:tc>
        <w:tc>
          <w:tcPr>
            <w:tcW w:type="pct" w:w="33%"/>
            <w:tcMar>
              <w:top w:type="dxa" w:w="80"/>
              <w:left w:type="dxa" w:w="100"/>
              <w:bottom w:type="dxa" w:w="80"/>
              <w:right w:type="dxa" w:w="100"/>
            </w:tcMar>
          </w:tcPr>
          <w:p>
            <w:r>
              <w:rPr>
                <w:b w:val="false"/>
                <w:bCs w:val="false"/>
                <w:color w:val="000000"/>
                <w:sz w:val="19"/>
                <w:szCs w:val="19"/>
              </w:rPr>
              <w:t xml:space="preserve">High costs push production abroad</w:t>
            </w:r>
          </w:p>
        </w:tc>
        <w:tc>
          <w:tcPr>
            <w:tcW w:type="pct" w:w="33%"/>
            <w:tcMar>
              <w:top w:type="dxa" w:w="80"/>
              <w:left w:type="dxa" w:w="100"/>
              <w:bottom w:type="dxa" w:w="80"/>
              <w:right w:type="dxa" w:w="100"/>
            </w:tcMar>
          </w:tcPr>
          <w:p>
            <w:r>
              <w:rPr>
                <w:b w:val="false"/>
                <w:bCs w:val="false"/>
                <w:color w:val="000000"/>
                <w:sz w:val="19"/>
                <w:szCs w:val="19"/>
              </w:rPr>
              <w:t xml:space="preserve">Firm power and long-range certainty support industrial retention</w:t>
            </w:r>
          </w:p>
        </w:tc>
      </w:tr>
    </w:tbl>
    <w:p>
      <w:pPr>
        <w:spacing w:after="200"/>
      </w:pPr>
    </w:p>
    <w:p>
      <w:pPr>
        <w:pStyle w:val="Heading2"/>
        <w:spacing w:after="160" w:before="300"/>
      </w:pPr>
      <w:bookmarkStart w:name="ch5c" w:id="1"/>
      <w:r>
        <w:rPr>
          <w:b/>
          <w:bCs/>
          <w:color w:val="1B2A4A"/>
        </w:rPr>
        <w:t xml:space="preserve">5c. The Staged Build Strategy</w:t>
      </w:r>
      <w:bookmarkEnd w:id="1"/>
    </w:p>
    <w:p>
      <w:pPr>
        <w:spacing w:after="200" w:line="300"/>
      </w:pPr>
      <w:r>
        <w:rPr>
          <w:sz w:val="22"/>
          <w:szCs w:val="22"/>
        </w:rPr>
        <w:t xml:space="preserve">CFF is not one monolithic build. It is a reactor core with a defined sequence of add-on modules, each installed only once its technical and commercial prerequisites are already proven. Every stage earns revenue before the next stage begins.</w:t>
      </w:r>
    </w:p>
    <w:p>
      <w:pPr>
        <w:pStyle w:val="ListParagraph"/>
        <w:numPr>
          <w:ilvl w:val="0"/>
          <w:numId w:val="1"/>
        </w:numPr>
        <w:spacing w:after="120" w:line="280"/>
      </w:pPr>
      <w:r>
        <w:rPr>
          <w:sz w:val="22"/>
          <w:szCs w:val="22"/>
        </w:rPr>
        <w:t xml:space="preserve">Stage 1 — Reactor + Electricity Generation (committed): depends on nothing else, unlocks everything downstream. A complete, revenue-generating power station even if nothing else is ever added.</w:t>
      </w:r>
    </w:p>
    <w:p>
      <w:pPr>
        <w:pStyle w:val="ListParagraph"/>
        <w:numPr>
          <w:ilvl w:val="0"/>
          <w:numId w:val="1"/>
        </w:numPr>
        <w:spacing w:after="120" w:line="280"/>
      </w:pPr>
      <w:r>
        <w:rPr>
          <w:sz w:val="22"/>
          <w:szCs w:val="22"/>
        </w:rPr>
        <w:t xml:space="preserve">Stage 2 — Desalination (addable): seawater cannot go directly into the electrolysers — this is a physical requirement, not optional sequencing. Clean water is sellable even before hydrogen production begins.</w:t>
      </w:r>
    </w:p>
    <w:p>
      <w:pPr>
        <w:pStyle w:val="ListParagraph"/>
        <w:numPr>
          <w:ilvl w:val="0"/>
          <w:numId w:val="1"/>
        </w:numPr>
        <w:spacing w:after="120" w:line="280"/>
      </w:pPr>
      <w:r>
        <w:rPr>
          <w:sz w:val="22"/>
          <w:szCs w:val="22"/>
        </w:rPr>
        <w:t xml:space="preserve">Stage 2b — District Heating (parallel track): runs alongside Stage 2. The Heat Halo revenue model works as soon as waste heat is available, using proven Danish twin-pipe methodology with UK-manufactured pre-insulated pipe.</w:t>
      </w:r>
    </w:p>
    <w:p>
      <w:pPr>
        <w:pStyle w:val="ListParagraph"/>
        <w:numPr>
          <w:ilvl w:val="0"/>
          <w:numId w:val="1"/>
        </w:numPr>
        <w:spacing w:after="120" w:line="280"/>
      </w:pPr>
      <w:r>
        <w:rPr>
          <w:sz w:val="22"/>
          <w:szCs w:val="22"/>
        </w:rPr>
        <w:t xml:space="preserve">Stage 3 — HTSE Electrolysis (addable): the first stage with genuine first-of-a-kind integration risk, positioned deliberately so a delay here does not threaten anything already built and earning.</w:t>
      </w:r>
    </w:p>
    <w:p>
      <w:pPr>
        <w:pStyle w:val="ListParagraph"/>
        <w:numPr>
          <w:ilvl w:val="0"/>
          <w:numId w:val="1"/>
        </w:numPr>
        <w:spacing w:after="120" w:line="280"/>
      </w:pPr>
      <w:r>
        <w:rPr>
          <w:sz w:val="22"/>
          <w:szCs w:val="22"/>
        </w:rPr>
        <w:t xml:space="preserve">Stage 4 — Oxygen Supply + Brine/Mineral Processing (addable): byproduct streams that activate once their parent processes exist. Oxygen comes free from splitting water.</w:t>
      </w:r>
    </w:p>
    <w:p>
      <w:pPr>
        <w:pStyle w:val="ListParagraph"/>
        <w:numPr>
          <w:ilvl w:val="0"/>
          <w:numId w:val="1"/>
        </w:numPr>
        <w:spacing w:after="120" w:line="280"/>
      </w:pPr>
      <w:r>
        <w:rPr>
          <w:sz w:val="22"/>
          <w:szCs w:val="22"/>
        </w:rPr>
        <w:t xml:space="preserve">Stage 5 — Strategic Reserve Expansion (optional): the dedicated water reserve unit and salt-cavern hydrogen storage — genuinely optional per-site, but essential at fleet level for sovereign energy security.</w:t>
      </w:r>
    </w:p>
    <w:p>
      <w:pPr>
        <w:spacing w:after="200" w:line="300"/>
      </w:pPr>
      <w:r>
        <w:rPr>
          <w:sz w:val="22"/>
          <w:szCs w:val="22"/>
        </w:rPr>
        <w:t xml:space="preserve">The first few sites use imported HTGR modules from established manufacturers — China's CNNC already builds commercial HTR-PM reactors at the same 80 MWe module scale CFF specifies — eliminating first-of-a-kind manufacturing risk while UK factories are built in parallel. Those UK factories then take over for the remaining fleet, driving module costs down through series production and creating thousands of high-skilled manufacturing jobs.</w:t>
      </w:r>
    </w:p>
    <w:p>
      <w:r>
        <w:br w:type="page"/>
      </w:r>
    </w:p>
    <w:p>
      <w:pPr>
        <w:pStyle w:val="Heading1"/>
      </w:pPr>
      <w:bookmarkStart w:name="ch6" w:id="1"/>
      <w:r>
        <w:rPr>
          <w:color w:val="9C7A2E"/>
          <w:sz w:val="22"/>
          <w:szCs w:val="22"/>
        </w:rPr>
        <w:t xml:space="preserve">Chapter 6 — Economics &amp; Funding</w:t>
      </w:r>
      <w:bookmarkEnd w:id="1"/>
    </w:p>
    <w:p>
      <w:pPr>
        <w:spacing w:after="240" w:before="60"/>
      </w:pPr>
      <w:r>
        <w:rPr>
          <w:b/>
          <w:bCs/>
          <w:color w:val="1B2A4A"/>
          <w:sz w:val="40"/>
          <w:szCs w:val="40"/>
        </w:rPr>
        <w:t xml:space="preserve">Economics &amp; Funding</w:t>
      </w:r>
    </w:p>
    <w:p>
      <w:pPr>
        <w:spacing w:after="300" w:line="300"/>
      </w:pPr>
      <w:r>
        <w:rPr>
          <w:i/>
          <w:iCs/>
          <w:color w:val="333333"/>
          <w:sz w:val="22"/>
          <w:szCs w:val="22"/>
        </w:rPr>
        <w:t xml:space="preserve">The wealth case for CFF is not built on placeholder surpluses or inflated claims. It rests on a simple proposition: serve public need first, then retain and sell the remaining strategic value at home instead of wasting it or letting it leak abroad.</w:t>
      </w:r>
    </w:p>
    <w:p>
      <w:pPr>
        <w:pStyle w:val="Heading2"/>
        <w:spacing w:after="160" w:before="300"/>
      </w:pPr>
      <w:bookmarkStart w:name="ch6a" w:id="1"/>
      <w:r>
        <w:rPr>
          <w:b/>
          <w:bCs/>
          <w:color w:val="1B2A4A"/>
        </w:rPr>
        <w:t xml:space="preserve">6a. Progressive Self-Funding</w:t>
      </w:r>
      <w:bookmarkEnd w:id="1"/>
    </w:p>
    <w:p>
      <w:pPr>
        <w:spacing w:after="200" w:line="300"/>
      </w:pPr>
      <w:r>
        <w:rPr>
          <w:sz w:val="22"/>
          <w:szCs w:val="22"/>
        </w:rPr>
        <w:t xml:space="preserve">Government funds Site 1. Revenue begins immediately. Each new site adds revenue to the pot, and government co-funding tapers as the fleet grows, until the programme sustains itself entirely.</w:t>
      </w:r>
    </w:p>
    <w:p>
      <w:pPr>
        <w:spacing w:after="200" w:line="300"/>
      </w:pPr>
      <w:r>
        <w:rPr>
          <w:sz w:val="22"/>
          <w:szCs w:val="22"/>
        </w:rPr>
        <w:t xml:space="preserve">Each CFF site produces six distinct revenue streams simultaneously — hydrogen sales, Safe-Flex grid feed-in, district heating, desalinated water, oxygen, and concentrated brine and minerals — for a conservative estimated gross revenue of £2,228 million per site per year, against operating costs of £951 million, leaving a net surplus of approximately £1.28 billion per site per year.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
            <w:shd w:fill="1B2A4A" w:val="clear"/>
            <w:tcMar>
              <w:top w:type="dxa" w:w="80"/>
              <w:left w:type="dxa" w:w="100"/>
              <w:bottom w:type="dxa" w:w="80"/>
              <w:right w:type="dxa" w:w="100"/>
            </w:tcMar>
          </w:tcPr>
          <w:p>
            <w:r>
              <w:rPr>
                <w:b/>
                <w:bCs/>
                <w:color w:val="FFFFFF"/>
                <w:sz w:val="19"/>
                <w:szCs w:val="19"/>
              </w:rPr>
              <w:t xml:space="preserve">Site</w:t>
            </w:r>
          </w:p>
        </w:tc>
        <w:tc>
          <w:tcPr>
            <w:tcW w:type="pct" w:w="16%"/>
            <w:shd w:fill="1B2A4A" w:val="clear"/>
            <w:tcMar>
              <w:top w:type="dxa" w:w="80"/>
              <w:left w:type="dxa" w:w="100"/>
              <w:bottom w:type="dxa" w:w="80"/>
              <w:right w:type="dxa" w:w="100"/>
            </w:tcMar>
          </w:tcPr>
          <w:p>
            <w:r>
              <w:rPr>
                <w:b/>
                <w:bCs/>
                <w:color w:val="FFFFFF"/>
                <w:sz w:val="19"/>
                <w:szCs w:val="19"/>
              </w:rPr>
              <w:t xml:space="preserve">Build Cost</w:t>
            </w:r>
          </w:p>
        </w:tc>
        <w:tc>
          <w:tcPr>
            <w:tcW w:type="pct" w:w="16%"/>
            <w:shd w:fill="1B2A4A" w:val="clear"/>
            <w:tcMar>
              <w:top w:type="dxa" w:w="80"/>
              <w:left w:type="dxa" w:w="100"/>
              <w:bottom w:type="dxa" w:w="80"/>
              <w:right w:type="dxa" w:w="100"/>
            </w:tcMar>
          </w:tcPr>
          <w:p>
            <w:r>
              <w:rPr>
                <w:b/>
                <w:bCs/>
                <w:color w:val="FFFFFF"/>
                <w:sz w:val="19"/>
                <w:szCs w:val="19"/>
              </w:rPr>
              <w:t xml:space="preserve">Commission Year</w:t>
            </w:r>
          </w:p>
        </w:tc>
        <w:tc>
          <w:tcPr>
            <w:tcW w:type="pct" w:w="16%"/>
            <w:shd w:fill="1B2A4A" w:val="clear"/>
            <w:tcMar>
              <w:top w:type="dxa" w:w="80"/>
              <w:left w:type="dxa" w:w="100"/>
              <w:bottom w:type="dxa" w:w="80"/>
              <w:right w:type="dxa" w:w="100"/>
            </w:tcMar>
          </w:tcPr>
          <w:p>
            <w:r>
              <w:rPr>
                <w:b/>
                <w:bCs/>
                <w:color w:val="FFFFFF"/>
                <w:sz w:val="19"/>
                <w:szCs w:val="19"/>
              </w:rPr>
              <w:t xml:space="preserve">Fleet Revenue/yr</w:t>
            </w:r>
          </w:p>
        </w:tc>
        <w:tc>
          <w:tcPr>
            <w:tcW w:type="pct" w:w="16%"/>
            <w:shd w:fill="1B2A4A" w:val="clear"/>
            <w:tcMar>
              <w:top w:type="dxa" w:w="80"/>
              <w:left w:type="dxa" w:w="100"/>
              <w:bottom w:type="dxa" w:w="80"/>
              <w:right w:type="dxa" w:w="100"/>
            </w:tcMar>
          </w:tcPr>
          <w:p>
            <w:r>
              <w:rPr>
                <w:b/>
                <w:bCs/>
                <w:color w:val="FFFFFF"/>
                <w:sz w:val="19"/>
                <w:szCs w:val="19"/>
              </w:rPr>
              <w:t xml:space="preserve">Govt Co-Fund</w:t>
            </w:r>
          </w:p>
        </w:tc>
        <w:tc>
          <w:tcPr>
            <w:tcW w:type="pct" w:w="16%"/>
            <w:shd w:fill="1B2A4A" w:val="clear"/>
            <w:tcMar>
              <w:top w:type="dxa" w:w="80"/>
              <w:left w:type="dxa" w:w="100"/>
              <w:bottom w:type="dxa" w:w="80"/>
              <w:right w:type="dxa" w:w="100"/>
            </w:tcMar>
          </w:tcPr>
          <w:p>
            <w:r>
              <w:rPr>
                <w:b/>
                <w:bCs/>
                <w:color w:val="FFFFFF"/>
                <w:sz w:val="19"/>
                <w:szCs w:val="19"/>
              </w:rPr>
              <w:t xml:space="preserve">Status</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1</w:t>
            </w:r>
          </w:p>
        </w:tc>
        <w:tc>
          <w:tcPr>
            <w:tcW w:type="pct" w:w="16%"/>
            <w:tcMar>
              <w:top w:type="dxa" w:w="80"/>
              <w:left w:type="dxa" w:w="100"/>
              <w:bottom w:type="dxa" w:w="80"/>
              <w:right w:type="dxa" w:w="100"/>
            </w:tcMar>
          </w:tcPr>
          <w:p>
            <w:r>
              <w:rPr>
                <w:b w:val="false"/>
                <w:bCs w:val="false"/>
                <w:color w:val="000000"/>
                <w:sz w:val="19"/>
                <w:szCs w:val="19"/>
              </w:rPr>
              <w:t xml:space="preserve">£15.00B</w:t>
            </w:r>
          </w:p>
        </w:tc>
        <w:tc>
          <w:tcPr>
            <w:tcW w:type="pct" w:w="16%"/>
            <w:tcMar>
              <w:top w:type="dxa" w:w="80"/>
              <w:left w:type="dxa" w:w="100"/>
              <w:bottom w:type="dxa" w:w="80"/>
              <w:right w:type="dxa" w:w="100"/>
            </w:tcMar>
          </w:tcPr>
          <w:p>
            <w:r>
              <w:rPr>
                <w:b w:val="false"/>
                <w:bCs w:val="false"/>
                <w:color w:val="000000"/>
                <w:sz w:val="19"/>
                <w:szCs w:val="19"/>
              </w:rPr>
              <w:t xml:space="preserve">2035</w:t>
            </w:r>
          </w:p>
        </w:tc>
        <w:tc>
          <w:tcPr>
            <w:tcW w:type="pct" w:w="16%"/>
            <w:tcMar>
              <w:top w:type="dxa" w:w="80"/>
              <w:left w:type="dxa" w:w="100"/>
              <w:bottom w:type="dxa" w:w="80"/>
              <w:right w:type="dxa" w:w="100"/>
            </w:tcMar>
          </w:tcPr>
          <w:p>
            <w:r>
              <w:rPr>
                <w:b w:val="false"/>
                <w:bCs w:val="false"/>
                <w:color w:val="000000"/>
                <w:sz w:val="19"/>
                <w:szCs w:val="19"/>
              </w:rPr>
              <w:t xml:space="preserve">£1.28B</w:t>
            </w:r>
          </w:p>
        </w:tc>
        <w:tc>
          <w:tcPr>
            <w:tcW w:type="pct" w:w="16%"/>
            <w:tcMar>
              <w:top w:type="dxa" w:w="80"/>
              <w:left w:type="dxa" w:w="100"/>
              <w:bottom w:type="dxa" w:w="80"/>
              <w:right w:type="dxa" w:w="100"/>
            </w:tcMar>
          </w:tcPr>
          <w:p>
            <w:r>
              <w:rPr>
                <w:b w:val="false"/>
                <w:bCs w:val="false"/>
                <w:color w:val="000000"/>
                <w:sz w:val="19"/>
                <w:szCs w:val="19"/>
              </w:rPr>
              <w:t xml:space="preserve">£15.00B</w:t>
            </w:r>
          </w:p>
        </w:tc>
        <w:tc>
          <w:tcPr>
            <w:tcW w:type="pct" w:w="16%"/>
            <w:tcMar>
              <w:top w:type="dxa" w:w="80"/>
              <w:left w:type="dxa" w:w="100"/>
              <w:bottom w:type="dxa" w:w="80"/>
              <w:right w:type="dxa" w:w="100"/>
            </w:tcMar>
          </w:tcPr>
          <w:p>
            <w:r>
              <w:rPr>
                <w:b w:val="false"/>
                <w:bCs w:val="false"/>
                <w:color w:val="000000"/>
                <w:sz w:val="19"/>
                <w:szCs w:val="19"/>
              </w:rPr>
              <w:t xml:space="preserve">100% Govt</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2</w:t>
            </w:r>
          </w:p>
        </w:tc>
        <w:tc>
          <w:tcPr>
            <w:tcW w:type="pct" w:w="16%"/>
            <w:tcMar>
              <w:top w:type="dxa" w:w="80"/>
              <w:left w:type="dxa" w:w="100"/>
              <w:bottom w:type="dxa" w:w="80"/>
              <w:right w:type="dxa" w:w="100"/>
            </w:tcMar>
          </w:tcPr>
          <w:p>
            <w:r>
              <w:rPr>
                <w:b w:val="false"/>
                <w:bCs w:val="false"/>
                <w:color w:val="000000"/>
                <w:sz w:val="19"/>
                <w:szCs w:val="19"/>
              </w:rPr>
              <w:t xml:space="preserve">£14.25B</w:t>
            </w:r>
          </w:p>
        </w:tc>
        <w:tc>
          <w:tcPr>
            <w:tcW w:type="pct" w:w="16%"/>
            <w:tcMar>
              <w:top w:type="dxa" w:w="80"/>
              <w:left w:type="dxa" w:w="100"/>
              <w:bottom w:type="dxa" w:w="80"/>
              <w:right w:type="dxa" w:w="100"/>
            </w:tcMar>
          </w:tcPr>
          <w:p>
            <w:r>
              <w:rPr>
                <w:b w:val="false"/>
                <w:bCs w:val="false"/>
                <w:color w:val="000000"/>
                <w:sz w:val="19"/>
                <w:szCs w:val="19"/>
              </w:rPr>
              <w:t xml:space="preserve">2038</w:t>
            </w:r>
          </w:p>
        </w:tc>
        <w:tc>
          <w:tcPr>
            <w:tcW w:type="pct" w:w="16%"/>
            <w:tcMar>
              <w:top w:type="dxa" w:w="80"/>
              <w:left w:type="dxa" w:w="100"/>
              <w:bottom w:type="dxa" w:w="80"/>
              <w:right w:type="dxa" w:w="100"/>
            </w:tcMar>
          </w:tcPr>
          <w:p>
            <w:r>
              <w:rPr>
                <w:b w:val="false"/>
                <w:bCs w:val="false"/>
                <w:color w:val="000000"/>
                <w:sz w:val="19"/>
                <w:szCs w:val="19"/>
              </w:rPr>
              <w:t xml:space="preserve">£2.55B</w:t>
            </w:r>
          </w:p>
        </w:tc>
        <w:tc>
          <w:tcPr>
            <w:tcW w:type="pct" w:w="16%"/>
            <w:tcMar>
              <w:top w:type="dxa" w:w="80"/>
              <w:left w:type="dxa" w:w="100"/>
              <w:bottom w:type="dxa" w:w="80"/>
              <w:right w:type="dxa" w:w="100"/>
            </w:tcMar>
          </w:tcPr>
          <w:p>
            <w:r>
              <w:rPr>
                <w:b w:val="false"/>
                <w:bCs w:val="false"/>
                <w:color w:val="000000"/>
                <w:sz w:val="19"/>
                <w:szCs w:val="19"/>
              </w:rPr>
              <w:t xml:space="preserve">£10.42B</w:t>
            </w:r>
          </w:p>
        </w:tc>
        <w:tc>
          <w:tcPr>
            <w:tcW w:type="pct" w:w="16%"/>
            <w:tcMar>
              <w:top w:type="dxa" w:w="80"/>
              <w:left w:type="dxa" w:w="100"/>
              <w:bottom w:type="dxa" w:w="80"/>
              <w:right w:type="dxa" w:w="100"/>
            </w:tcMar>
          </w:tcPr>
          <w:p>
            <w:r>
              <w:rPr>
                <w:b w:val="false"/>
                <w:bCs w:val="false"/>
                <w:color w:val="000000"/>
                <w:sz w:val="19"/>
                <w:szCs w:val="19"/>
              </w:rPr>
              <w:t xml:space="preserve">73% Govt</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£13.54B</w:t>
            </w:r>
          </w:p>
        </w:tc>
        <w:tc>
          <w:tcPr>
            <w:tcW w:type="pct" w:w="16%"/>
            <w:tcMar>
              <w:top w:type="dxa" w:w="80"/>
              <w:left w:type="dxa" w:w="100"/>
              <w:bottom w:type="dxa" w:w="80"/>
              <w:right w:type="dxa" w:w="100"/>
            </w:tcMar>
          </w:tcPr>
          <w:p>
            <w:r>
              <w:rPr>
                <w:b w:val="false"/>
                <w:bCs w:val="false"/>
                <w:color w:val="000000"/>
                <w:sz w:val="19"/>
                <w:szCs w:val="19"/>
              </w:rPr>
              <w:t xml:space="preserve">2040</w:t>
            </w:r>
          </w:p>
        </w:tc>
        <w:tc>
          <w:tcPr>
            <w:tcW w:type="pct" w:w="16%"/>
            <w:tcMar>
              <w:top w:type="dxa" w:w="80"/>
              <w:left w:type="dxa" w:w="100"/>
              <w:bottom w:type="dxa" w:w="80"/>
              <w:right w:type="dxa" w:w="100"/>
            </w:tcMar>
          </w:tcPr>
          <w:p>
            <w:r>
              <w:rPr>
                <w:b w:val="false"/>
                <w:bCs w:val="false"/>
                <w:color w:val="000000"/>
                <w:sz w:val="19"/>
                <w:szCs w:val="19"/>
              </w:rPr>
              <w:t xml:space="preserve">£3.83B</w:t>
            </w:r>
          </w:p>
        </w:tc>
        <w:tc>
          <w:tcPr>
            <w:tcW w:type="pct" w:w="16%"/>
            <w:tcMar>
              <w:top w:type="dxa" w:w="80"/>
              <w:left w:type="dxa" w:w="100"/>
              <w:bottom w:type="dxa" w:w="80"/>
              <w:right w:type="dxa" w:w="100"/>
            </w:tcMar>
          </w:tcPr>
          <w:p>
            <w:r>
              <w:rPr>
                <w:b w:val="false"/>
                <w:bCs w:val="false"/>
                <w:color w:val="000000"/>
                <w:sz w:val="19"/>
                <w:szCs w:val="19"/>
              </w:rPr>
              <w:t xml:space="preserve">£6.00B</w:t>
            </w:r>
          </w:p>
        </w:tc>
        <w:tc>
          <w:tcPr>
            <w:tcW w:type="pct" w:w="16%"/>
            <w:tcMar>
              <w:top w:type="dxa" w:w="80"/>
              <w:left w:type="dxa" w:w="100"/>
              <w:bottom w:type="dxa" w:w="80"/>
              <w:right w:type="dxa" w:w="100"/>
            </w:tcMar>
          </w:tcPr>
          <w:p>
            <w:r>
              <w:rPr>
                <w:b w:val="false"/>
                <w:bCs w:val="false"/>
                <w:color w:val="000000"/>
                <w:sz w:val="19"/>
                <w:szCs w:val="19"/>
              </w:rPr>
              <w:t xml:space="preserve">44% Govt</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4</w:t>
            </w:r>
          </w:p>
        </w:tc>
        <w:tc>
          <w:tcPr>
            <w:tcW w:type="pct" w:w="16%"/>
            <w:tcMar>
              <w:top w:type="dxa" w:w="80"/>
              <w:left w:type="dxa" w:w="100"/>
              <w:bottom w:type="dxa" w:w="80"/>
              <w:right w:type="dxa" w:w="100"/>
            </w:tcMar>
          </w:tcPr>
          <w:p>
            <w:r>
              <w:rPr>
                <w:b w:val="false"/>
                <w:bCs w:val="false"/>
                <w:color w:val="000000"/>
                <w:sz w:val="19"/>
                <w:szCs w:val="19"/>
              </w:rPr>
              <w:t xml:space="preserve">£12.86B</w:t>
            </w:r>
          </w:p>
        </w:tc>
        <w:tc>
          <w:tcPr>
            <w:tcW w:type="pct" w:w="16%"/>
            <w:tcMar>
              <w:top w:type="dxa" w:w="80"/>
              <w:left w:type="dxa" w:w="100"/>
              <w:bottom w:type="dxa" w:w="80"/>
              <w:right w:type="dxa" w:w="100"/>
            </w:tcMar>
          </w:tcPr>
          <w:p>
            <w:r>
              <w:rPr>
                <w:b w:val="false"/>
                <w:bCs w:val="false"/>
                <w:color w:val="000000"/>
                <w:sz w:val="19"/>
                <w:szCs w:val="19"/>
              </w:rPr>
              <w:t xml:space="preserve">2042</w:t>
            </w:r>
          </w:p>
        </w:tc>
        <w:tc>
          <w:tcPr>
            <w:tcW w:type="pct" w:w="16%"/>
            <w:tcMar>
              <w:top w:type="dxa" w:w="80"/>
              <w:left w:type="dxa" w:w="100"/>
              <w:bottom w:type="dxa" w:w="80"/>
              <w:right w:type="dxa" w:w="100"/>
            </w:tcMar>
          </w:tcPr>
          <w:p>
            <w:r>
              <w:rPr>
                <w:b w:val="false"/>
                <w:bCs w:val="false"/>
                <w:color w:val="000000"/>
                <w:sz w:val="19"/>
                <w:szCs w:val="19"/>
              </w:rPr>
              <w:t xml:space="preserve">£5.11B</w:t>
            </w:r>
          </w:p>
        </w:tc>
        <w:tc>
          <w:tcPr>
            <w:tcW w:type="pct" w:w="16%"/>
            <w:tcMar>
              <w:top w:type="dxa" w:w="80"/>
              <w:left w:type="dxa" w:w="100"/>
              <w:bottom w:type="dxa" w:w="80"/>
              <w:right w:type="dxa" w:w="100"/>
            </w:tcMar>
          </w:tcPr>
          <w:p>
            <w:r>
              <w:rPr>
                <w:b w:val="false"/>
                <w:bCs w:val="false"/>
                <w:color w:val="000000"/>
                <w:sz w:val="19"/>
                <w:szCs w:val="19"/>
              </w:rPr>
              <w:t xml:space="preserve">£2.04B</w:t>
            </w:r>
          </w:p>
        </w:tc>
        <w:tc>
          <w:tcPr>
            <w:tcW w:type="pct" w:w="16%"/>
            <w:tcMar>
              <w:top w:type="dxa" w:w="80"/>
              <w:left w:type="dxa" w:w="100"/>
              <w:bottom w:type="dxa" w:w="80"/>
              <w:right w:type="dxa" w:w="100"/>
            </w:tcMar>
          </w:tcPr>
          <w:p>
            <w:r>
              <w:rPr>
                <w:b w:val="false"/>
                <w:bCs w:val="false"/>
                <w:color w:val="000000"/>
                <w:sz w:val="19"/>
                <w:szCs w:val="19"/>
              </w:rPr>
              <w:t xml:space="preserve">16% Govt</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5</w:t>
            </w:r>
          </w:p>
        </w:tc>
        <w:tc>
          <w:tcPr>
            <w:tcW w:type="pct" w:w="16%"/>
            <w:tcMar>
              <w:top w:type="dxa" w:w="80"/>
              <w:left w:type="dxa" w:w="100"/>
              <w:bottom w:type="dxa" w:w="80"/>
              <w:right w:type="dxa" w:w="100"/>
            </w:tcMar>
          </w:tcPr>
          <w:p>
            <w:r>
              <w:rPr>
                <w:b w:val="false"/>
                <w:bCs w:val="false"/>
                <w:color w:val="000000"/>
                <w:sz w:val="19"/>
                <w:szCs w:val="19"/>
              </w:rPr>
              <w:t xml:space="preserve">£12.22B</w:t>
            </w:r>
          </w:p>
        </w:tc>
        <w:tc>
          <w:tcPr>
            <w:tcW w:type="pct" w:w="16%"/>
            <w:tcMar>
              <w:top w:type="dxa" w:w="80"/>
              <w:left w:type="dxa" w:w="100"/>
              <w:bottom w:type="dxa" w:w="80"/>
              <w:right w:type="dxa" w:w="100"/>
            </w:tcMar>
          </w:tcPr>
          <w:p>
            <w:r>
              <w:rPr>
                <w:b w:val="false"/>
                <w:bCs w:val="false"/>
                <w:color w:val="000000"/>
                <w:sz w:val="19"/>
                <w:szCs w:val="19"/>
              </w:rPr>
              <w:t xml:space="preserve">2043</w:t>
            </w:r>
          </w:p>
        </w:tc>
        <w:tc>
          <w:tcPr>
            <w:tcW w:type="pct" w:w="16%"/>
            <w:tcMar>
              <w:top w:type="dxa" w:w="80"/>
              <w:left w:type="dxa" w:w="100"/>
              <w:bottom w:type="dxa" w:w="80"/>
              <w:right w:type="dxa" w:w="100"/>
            </w:tcMar>
          </w:tcPr>
          <w:p>
            <w:r>
              <w:rPr>
                <w:b w:val="false"/>
                <w:bCs w:val="false"/>
                <w:color w:val="000000"/>
                <w:sz w:val="19"/>
                <w:szCs w:val="19"/>
              </w:rPr>
              <w:t xml:space="preserve">£6.39B</w:t>
            </w:r>
          </w:p>
        </w:tc>
        <w:tc>
          <w:tcPr>
            <w:tcW w:type="pct" w:w="16%"/>
            <w:tcMar>
              <w:top w:type="dxa" w:w="80"/>
              <w:left w:type="dxa" w:w="100"/>
              <w:bottom w:type="dxa" w:w="80"/>
              <w:right w:type="dxa" w:w="100"/>
            </w:tcMar>
          </w:tcPr>
          <w:p>
            <w:r>
              <w:rPr>
                <w:b w:val="false"/>
                <w:bCs w:val="false"/>
                <w:color w:val="000000"/>
                <w:sz w:val="19"/>
                <w:szCs w:val="19"/>
              </w:rPr>
              <w:t xml:space="preserve">£0</w:t>
            </w:r>
          </w:p>
        </w:tc>
        <w:tc>
          <w:tcPr>
            <w:tcW w:type="pct" w:w="16%"/>
            <w:tcMar>
              <w:top w:type="dxa" w:w="80"/>
              <w:left w:type="dxa" w:w="100"/>
              <w:bottom w:type="dxa" w:w="80"/>
              <w:right w:type="dxa" w:w="100"/>
            </w:tcMar>
          </w:tcPr>
          <w:p>
            <w:r>
              <w:rPr>
                <w:b w:val="false"/>
                <w:bCs w:val="false"/>
                <w:color w:val="000000"/>
                <w:sz w:val="19"/>
                <w:szCs w:val="19"/>
              </w:rPr>
              <w:t xml:space="preserve">Self-funded</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6–28</w:t>
            </w:r>
          </w:p>
        </w:tc>
        <w:tc>
          <w:tcPr>
            <w:tcW w:type="pct" w:w="16%"/>
            <w:tcMar>
              <w:top w:type="dxa" w:w="80"/>
              <w:left w:type="dxa" w:w="100"/>
              <w:bottom w:type="dxa" w:w="80"/>
              <w:right w:type="dxa" w:w="100"/>
            </w:tcMar>
          </w:tcPr>
          <w:p>
            <w:r>
              <w:rPr>
                <w:b w:val="false"/>
                <w:bCs w:val="false"/>
                <w:color w:val="000000"/>
                <w:sz w:val="19"/>
                <w:szCs w:val="19"/>
              </w:rPr>
              <w:t xml:space="preserve">£10.50–11.61B</w:t>
            </w:r>
          </w:p>
        </w:tc>
        <w:tc>
          <w:tcPr>
            <w:tcW w:type="pct" w:w="16%"/>
            <w:tcMar>
              <w:top w:type="dxa" w:w="80"/>
              <w:left w:type="dxa" w:w="100"/>
              <w:bottom w:type="dxa" w:w="80"/>
              <w:right w:type="dxa" w:w="100"/>
            </w:tcMar>
          </w:tcPr>
          <w:p>
            <w:r>
              <w:rPr>
                <w:b w:val="false"/>
                <w:bCs w:val="false"/>
                <w:color w:val="000000"/>
                <w:sz w:val="19"/>
                <w:szCs w:val="19"/>
              </w:rPr>
              <w:t xml:space="preserve">2044–2053</w:t>
            </w:r>
          </w:p>
        </w:tc>
        <w:tc>
          <w:tcPr>
            <w:tcW w:type="pct" w:w="16%"/>
            <w:tcMar>
              <w:top w:type="dxa" w:w="80"/>
              <w:left w:type="dxa" w:w="100"/>
              <w:bottom w:type="dxa" w:w="80"/>
              <w:right w:type="dxa" w:w="100"/>
            </w:tcMar>
          </w:tcPr>
          <w:p>
            <w:r>
              <w:rPr>
                <w:b w:val="false"/>
                <w:bCs w:val="false"/>
                <w:color w:val="000000"/>
                <w:sz w:val="19"/>
                <w:szCs w:val="19"/>
              </w:rPr>
              <w:t xml:space="preserve">£7.7–35.8B</w:t>
            </w:r>
          </w:p>
        </w:tc>
        <w:tc>
          <w:tcPr>
            <w:tcW w:type="pct" w:w="16%"/>
            <w:tcMar>
              <w:top w:type="dxa" w:w="80"/>
              <w:left w:type="dxa" w:w="100"/>
              <w:bottom w:type="dxa" w:w="80"/>
              <w:right w:type="dxa" w:w="100"/>
            </w:tcMar>
          </w:tcPr>
          <w:p>
            <w:r>
              <w:rPr>
                <w:b w:val="false"/>
                <w:bCs w:val="false"/>
                <w:color w:val="000000"/>
                <w:sz w:val="19"/>
                <w:szCs w:val="19"/>
              </w:rPr>
              <w:t xml:space="preserve">£0</w:t>
            </w:r>
          </w:p>
        </w:tc>
        <w:tc>
          <w:tcPr>
            <w:tcW w:type="pct" w:w="16%"/>
            <w:tcMar>
              <w:top w:type="dxa" w:w="80"/>
              <w:left w:type="dxa" w:w="100"/>
              <w:bottom w:type="dxa" w:w="80"/>
              <w:right w:type="dxa" w:w="100"/>
            </w:tcMar>
          </w:tcPr>
          <w:p>
            <w:r>
              <w:rPr>
                <w:b w:val="false"/>
                <w:bCs w:val="false"/>
                <w:color w:val="000000"/>
                <w:sz w:val="19"/>
                <w:szCs w:val="19"/>
              </w:rPr>
              <w:t xml:space="preserve">Self-funded</w:t>
            </w:r>
          </w:p>
        </w:tc>
      </w:tr>
    </w:tbl>
    <w:p>
      <w:pPr>
        <w:spacing w:after="200"/>
      </w:pPr>
    </w:p>
    <w:p>
      <w:pPr>
        <w:spacing w:after="200" w:line="300"/>
      </w:pPr>
      <w:r>
        <w:rPr>
          <w:sz w:val="22"/>
          <w:szCs w:val="22"/>
        </w:rPr>
        <w:t xml:space="preserve">By the time Site 5 is under construction, around 2043, the fleet has four operational sites generating roughly £5.1 billion a year in net surplus — enough to exceed the build cost of Site 5 within about 2.4 years of accumulation, meaning no further government money is required. Total government investment to reach self-funding is approximately £33.5 billion — less than the cost of Hinkley Point C alone — and this sum creates four operational sites plus a perpetual funding engine for the remaining 24.</w:t>
      </w:r>
    </w:p>
    <w:p>
      <w:pPr>
        <w:spacing w:after="200" w:line="300"/>
      </w:pPr>
      <w:r>
        <w:rPr>
          <w:sz w:val="22"/>
          <w:szCs w:val="22"/>
        </w:rPr>
        <w:t xml:space="preserve">Once all 28 sites are operational, around 2053, the fleet generates approximately £35.8 billion a year in net surplus to the Treasury, £62.4 billion in annual gross revenue, and approximately £7.16 trillion over the 200-year programme lifetime — a return of roughly £214 for every £1 invested.</w:t>
      </w:r>
    </w:p>
    <w:p>
      <w:pPr>
        <w:pStyle w:val="Heading2"/>
        <w:spacing w:after="160" w:before="300"/>
      </w:pPr>
      <w:bookmarkStart w:name="ch6b" w:id="1"/>
      <w:r>
        <w:rPr>
          <w:b/>
          <w:bCs/>
          <w:color w:val="1B2A4A"/>
        </w:rPr>
        <w:t xml:space="preserve">6b. The Industrial Ecosystem</w:t>
      </w:r>
      <w:bookmarkEnd w:id="1"/>
    </w:p>
    <w:p>
      <w:pPr>
        <w:spacing w:after="200" w:line="300"/>
      </w:pPr>
      <w:r>
        <w:rPr>
          <w:sz w:val="22"/>
          <w:szCs w:val="22"/>
        </w:rPr>
        <w:t xml:space="preserve">Once public needs are served first, surplus site outputs — heat, oxygen, desalinated water, and mineral streams — can be captured and sold into British industry, making more domestic production viable around each sovereign anchor site.</w:t>
      </w:r>
    </w:p>
    <w:p>
      <w:pPr>
        <w:pStyle w:val="ListParagraph"/>
        <w:numPr>
          <w:ilvl w:val="0"/>
          <w:numId w:val="1"/>
        </w:numPr>
        <w:spacing w:after="120" w:line="280"/>
      </w:pPr>
      <w:r>
        <w:rPr>
          <w:sz w:val="22"/>
          <w:szCs w:val="22"/>
        </w:rPr>
        <w:t xml:space="preserve">Vertical Farming &amp; Controlled Environment Agriculture: waste heat, desalinated water, oxygen enrichment, and mineral streams support strawberries, soft fruits, and salad leaves. Indicative value £500M–£1.5B/year; ~150–300 jobs per site.</w:t>
      </w:r>
    </w:p>
    <w:p>
      <w:pPr>
        <w:pStyle w:val="ListParagraph"/>
        <w:numPr>
          <w:ilvl w:val="0"/>
          <w:numId w:val="1"/>
        </w:numPr>
        <w:spacing w:after="120" w:line="280"/>
      </w:pPr>
      <w:r>
        <w:rPr>
          <w:sz w:val="22"/>
          <w:szCs w:val="22"/>
        </w:rPr>
        <w:t xml:space="preserve">Green Chemicals &amp; Pharmaceutical Feedstocks: surplus oxygen supports hydrogen peroxide production, pharmaceutical synthesis, and industrial ozone. Indicative value £2B–£5B/year; ~300–600 jobs per site.</w:t>
      </w:r>
    </w:p>
    <w:p>
      <w:pPr>
        <w:pStyle w:val="ListParagraph"/>
        <w:numPr>
          <w:ilvl w:val="0"/>
          <w:numId w:val="1"/>
        </w:numPr>
        <w:spacing w:after="120" w:line="280"/>
      </w:pPr>
      <w:r>
        <w:rPr>
          <w:sz w:val="22"/>
          <w:szCs w:val="22"/>
        </w:rPr>
        <w:t xml:space="preserve">Thalassotherapy &amp; Coastal Wellness: mineral-rich water and heated pools support health and rehabilitation facilities. Indicative value £560M–£2.2B/year nationally.</w:t>
      </w:r>
    </w:p>
    <w:p>
      <w:pPr>
        <w:pStyle w:val="ListParagraph"/>
        <w:numPr>
          <w:ilvl w:val="0"/>
          <w:numId w:val="1"/>
        </w:numPr>
        <w:spacing w:after="120" w:line="280"/>
      </w:pPr>
      <w:r>
        <w:rPr>
          <w:sz w:val="22"/>
          <w:szCs w:val="22"/>
        </w:rPr>
        <w:t xml:space="preserve">Building Materials Manufacturing: magnesium and calcium from brine support magnesium oxide board and calcium silicate products. Indicative value £500M–£2B/year.</w:t>
      </w:r>
    </w:p>
    <w:p>
      <w:pPr>
        <w:pStyle w:val="ListParagraph"/>
        <w:numPr>
          <w:ilvl w:val="0"/>
          <w:numId w:val="1"/>
        </w:numPr>
        <w:spacing w:after="120" w:line="280"/>
      </w:pPr>
      <w:r>
        <w:rPr>
          <w:sz w:val="22"/>
          <w:szCs w:val="22"/>
        </w:rPr>
        <w:t xml:space="preserve">Seaweed Farming &amp; Blue Carbon: kelp, dulse, and carrageenan production using coastal logistics and process heat. Indicative value £300M–£1B/year.</w:t>
      </w:r>
    </w:p>
    <w:p>
      <w:pPr>
        <w:pStyle w:val="ListParagraph"/>
        <w:numPr>
          <w:ilvl w:val="0"/>
          <w:numId w:val="1"/>
        </w:numPr>
        <w:spacing w:after="120" w:line="280"/>
      </w:pPr>
      <w:r>
        <w:rPr>
          <w:sz w:val="22"/>
          <w:szCs w:val="22"/>
        </w:rPr>
        <w:t xml:space="preserve">Precision Fermentation &amp; Cultivated Protein: ultra-pure water and stable heat support advanced biomanufacturing, treated as a long-run possibility rather than a near-term certainty. Indicative value £500M–£2B/year at mature scale.</w:t>
      </w:r>
    </w:p>
    <w:p>
      <w:pPr>
        <w:spacing w:after="200" w:line="300"/>
      </w:pPr>
      <w:r>
        <w:rPr>
          <w:sz w:val="22"/>
          <w:szCs w:val="22"/>
        </w:rPr>
        <w:t xml:space="preserve">Taken together, the combined ecosystem could add £8B–£22B/year and 48,000–126,000 additional jobs at a high-end theoretical scale — figures presented as strategic upside, not guaranteed revenue.</w:t>
      </w:r>
    </w:p>
    <w:p>
      <w:pPr>
        <w:pStyle w:val="Heading2"/>
        <w:spacing w:after="160" w:before="300"/>
      </w:pPr>
      <w:bookmarkStart w:name="ch6c" w:id="1"/>
      <w:r>
        <w:rPr>
          <w:b/>
          <w:bCs/>
          <w:color w:val="1B2A4A"/>
        </w:rPr>
        <w:t xml:space="preserve">6c. Treasury Income and the National Comparison</w:t>
      </w:r>
      <w:bookmarkEnd w:id="1"/>
    </w:p>
    <w:p>
      <w:pPr>
        <w:spacing w:after="200" w:line="300"/>
      </w:pPr>
      <w:r>
        <w:rPr>
          <w:sz w:val="22"/>
          <w:szCs w:val="22"/>
        </w:rPr>
        <w:t xml:space="preserve">£35.8 billion a year is more than the entire UK defence budget, roughly equal to the Department for Education budget, and approximately three times the annual foreign aid budget. Over the 200-year programme lifetime, cumulative net income to the Treasury reaches approximately £7.16 trillion, from a total government investment of £33.5 billion.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Comparator</w:t>
            </w:r>
          </w:p>
        </w:tc>
        <w:tc>
          <w:tcPr>
            <w:tcW w:type="pct" w:w="33%"/>
            <w:shd w:fill="1B2A4A" w:val="clear"/>
            <w:tcMar>
              <w:top w:type="dxa" w:w="80"/>
              <w:left w:type="dxa" w:w="100"/>
              <w:bottom w:type="dxa" w:w="80"/>
              <w:right w:type="dxa" w:w="100"/>
            </w:tcMar>
          </w:tcPr>
          <w:p>
            <w:r>
              <w:rPr>
                <w:b/>
                <w:bCs/>
                <w:color w:val="FFFFFF"/>
                <w:sz w:val="19"/>
                <w:szCs w:val="19"/>
              </w:rPr>
              <w:t xml:space="preserve">Annual Figure</w:t>
            </w:r>
          </w:p>
        </w:tc>
        <w:tc>
          <w:tcPr>
            <w:tcW w:type="pct" w:w="33%"/>
            <w:shd w:fill="1B2A4A" w:val="clear"/>
            <w:tcMar>
              <w:top w:type="dxa" w:w="80"/>
              <w:left w:type="dxa" w:w="100"/>
              <w:bottom w:type="dxa" w:w="80"/>
              <w:right w:type="dxa" w:w="100"/>
            </w:tcMar>
          </w:tcPr>
          <w:p>
            <w:r>
              <w:rPr>
                <w:b/>
                <w:bCs/>
                <w:color w:val="FFFFFF"/>
                <w:sz w:val="19"/>
                <w:szCs w:val="19"/>
              </w:rPr>
              <w:t xml:space="preserve">CFF Comparison</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North Sea Oil &amp; Gas (peak year, 2008–09)</w:t>
            </w:r>
          </w:p>
        </w:tc>
        <w:tc>
          <w:tcPr>
            <w:tcW w:type="pct" w:w="33%"/>
            <w:tcMar>
              <w:top w:type="dxa" w:w="80"/>
              <w:left w:type="dxa" w:w="100"/>
              <w:bottom w:type="dxa" w:w="80"/>
              <w:right w:type="dxa" w:w="100"/>
            </w:tcMar>
          </w:tcPr>
          <w:p>
            <w:r>
              <w:rPr>
                <w:b w:val="false"/>
                <w:bCs w:val="false"/>
                <w:color w:val="000000"/>
                <w:sz w:val="19"/>
                <w:szCs w:val="19"/>
              </w:rPr>
              <w:t xml:space="preserve">£12.4B</w:t>
            </w:r>
          </w:p>
        </w:tc>
        <w:tc>
          <w:tcPr>
            <w:tcW w:type="pct" w:w="33%"/>
            <w:tcMar>
              <w:top w:type="dxa" w:w="80"/>
              <w:left w:type="dxa" w:w="100"/>
              <w:bottom w:type="dxa" w:w="80"/>
              <w:right w:type="dxa" w:w="100"/>
            </w:tcMar>
          </w:tcPr>
          <w:p>
            <w:r>
              <w:rPr>
                <w:b w:val="false"/>
                <w:bCs w:val="false"/>
                <w:color w:val="000000"/>
                <w:sz w:val="19"/>
                <w:szCs w:val="19"/>
              </w:rPr>
              <w:t xml:space="preserve">CFF net = 2.9× the best year on record</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Hinkley Point C (projected annual subsidy)</w:t>
            </w:r>
          </w:p>
        </w:tc>
        <w:tc>
          <w:tcPr>
            <w:tcW w:type="pct" w:w="33%"/>
            <w:tcMar>
              <w:top w:type="dxa" w:w="80"/>
              <w:left w:type="dxa" w:w="100"/>
              <w:bottom w:type="dxa" w:w="80"/>
              <w:right w:type="dxa" w:w="100"/>
            </w:tcMar>
          </w:tcPr>
          <w:p>
            <w:r>
              <w:rPr>
                <w:b w:val="false"/>
                <w:bCs w:val="false"/>
                <w:color w:val="000000"/>
                <w:sz w:val="19"/>
                <w:szCs w:val="19"/>
              </w:rPr>
              <w:t xml:space="preserve">~£2B/yr</w:t>
            </w:r>
          </w:p>
        </w:tc>
        <w:tc>
          <w:tcPr>
            <w:tcW w:type="pct" w:w="33%"/>
            <w:tcMar>
              <w:top w:type="dxa" w:w="80"/>
              <w:left w:type="dxa" w:w="100"/>
              <w:bottom w:type="dxa" w:w="80"/>
              <w:right w:type="dxa" w:w="100"/>
            </w:tcMar>
          </w:tcPr>
          <w:p>
            <w:r>
              <w:rPr>
                <w:b w:val="false"/>
                <w:bCs w:val="false"/>
                <w:color w:val="000000"/>
                <w:sz w:val="19"/>
                <w:szCs w:val="19"/>
              </w:rPr>
              <w:t xml:space="preserve">CFF net = 18× Hinkley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National Grid plc (total revenue, 2024)</w:t>
            </w:r>
          </w:p>
        </w:tc>
        <w:tc>
          <w:tcPr>
            <w:tcW w:type="pct" w:w="33%"/>
            <w:tcMar>
              <w:top w:type="dxa" w:w="80"/>
              <w:left w:type="dxa" w:w="100"/>
              <w:bottom w:type="dxa" w:w="80"/>
              <w:right w:type="dxa" w:w="100"/>
            </w:tcMar>
          </w:tcPr>
          <w:p>
            <w:r>
              <w:rPr>
                <w:b w:val="false"/>
                <w:bCs w:val="false"/>
                <w:color w:val="000000"/>
                <w:sz w:val="19"/>
                <w:szCs w:val="19"/>
              </w:rPr>
              <w:t xml:space="preserve">£19.85B</w:t>
            </w:r>
          </w:p>
        </w:tc>
        <w:tc>
          <w:tcPr>
            <w:tcW w:type="pct" w:w="33%"/>
            <w:tcMar>
              <w:top w:type="dxa" w:w="80"/>
              <w:left w:type="dxa" w:w="100"/>
              <w:bottom w:type="dxa" w:w="80"/>
              <w:right w:type="dxa" w:w="100"/>
            </w:tcMar>
          </w:tcPr>
          <w:p>
            <w:r>
              <w:rPr>
                <w:b w:val="false"/>
                <w:bCs w:val="false"/>
                <w:color w:val="000000"/>
                <w:sz w:val="19"/>
                <w:szCs w:val="19"/>
              </w:rPr>
              <w:t xml:space="preserve">CFF gross = 3.1× entire National Grid</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HS2 (revised full-programme cost, May 2026)</w:t>
            </w:r>
          </w:p>
        </w:tc>
        <w:tc>
          <w:tcPr>
            <w:tcW w:type="pct" w:w="33%"/>
            <w:tcMar>
              <w:top w:type="dxa" w:w="80"/>
              <w:left w:type="dxa" w:w="100"/>
              <w:bottom w:type="dxa" w:w="80"/>
              <w:right w:type="dxa" w:w="100"/>
            </w:tcMar>
          </w:tcPr>
          <w:p>
            <w:r>
              <w:rPr>
                <w:b w:val="false"/>
                <w:bCs w:val="false"/>
                <w:color w:val="000000"/>
                <w:sz w:val="19"/>
                <w:szCs w:val="19"/>
              </w:rPr>
              <w:t xml:space="preserve">£87.7–£102.7B, zero revenue</w:t>
            </w:r>
          </w:p>
        </w:tc>
        <w:tc>
          <w:tcPr>
            <w:tcW w:type="pct" w:w="33%"/>
            <w:tcMar>
              <w:top w:type="dxa" w:w="80"/>
              <w:left w:type="dxa" w:w="100"/>
              <w:bottom w:type="dxa" w:w="80"/>
              <w:right w:type="dxa" w:w="100"/>
            </w:tcMar>
          </w:tcPr>
          <w:p>
            <w:r>
              <w:rPr>
                <w:b w:val="false"/>
                <w:bCs w:val="false"/>
                <w:color w:val="000000"/>
                <w:sz w:val="19"/>
                <w:szCs w:val="19"/>
              </w:rPr>
              <w:t xml:space="preserve">CFF govt cost = ~1/3 of HS2's upper estimate, and self-funds from Site 5</w:t>
            </w:r>
          </w:p>
        </w:tc>
      </w:tr>
    </w:tbl>
    <w:p>
      <w:pPr>
        <w:spacing w:after="200"/>
      </w:pPr>
    </w:p>
    <w:p>
      <w:pPr>
        <w:spacing w:after="200" w:line="300"/>
      </w:pPr>
      <w:r>
        <w:rPr>
          <w:sz w:val="22"/>
          <w:szCs w:val="22"/>
        </w:rPr>
        <w:t xml:space="preserve">Norway used its North Sea revenue to build the world's largest sovereign wealth fund, now worth over £1.6 trillion. Britain spent its equivalent. CFF is Britain's second chance — a Norwegian-scale sovereign wealth outcome built not from depleting oil, but from a permanent nuclear-hydrogen infrastructure that runs for 200 years.</w:t>
      </w:r>
    </w:p>
    <w:p>
      <w:pPr>
        <w:pStyle w:val="Heading2"/>
        <w:spacing w:after="160" w:before="300"/>
      </w:pPr>
      <w:bookmarkStart w:name="ch6d" w:id="1"/>
      <w:r>
        <w:rPr>
          <w:b/>
          <w:bCs/>
          <w:color w:val="1B2A4A"/>
        </w:rPr>
        <w:t xml:space="preserve">6d. The National Wealth Engine</w:t>
      </w:r>
      <w:bookmarkEnd w:id="1"/>
    </w:p>
    <w:p>
      <w:pPr>
        <w:spacing w:after="200" w:line="300"/>
      </w:pPr>
      <w:r>
        <w:rPr>
          <w:sz w:val="22"/>
          <w:szCs w:val="22"/>
        </w:rPr>
        <w:t xml:space="preserve">The wealth case rests on three mechanisms working together: import displacement (money that would have left the UK circulates in the home economy instead), domestic value retention (public services supplied first, surplus sold onward into British industry rather than leaking abroad through waste or fragmented ownership), and permanent national asset formation (each site treated as a generational public asset that compounds capability over decades).</w:t>
      </w:r>
    </w:p>
    <w:p>
      <w:pPr>
        <w:spacing w:after="200" w:line="300"/>
      </w:pPr>
      <w:r>
        <w:rPr>
          <w:sz w:val="22"/>
          <w:szCs w:val="22"/>
        </w:rPr>
        <w:t xml:space="preserve">The wealth argument only works if the strategic base remains in public hands — if ownership leaks, so does the value. That is the entire reason sovereignty sits at the centre of the programme rather than as an afterthought.</w:t>
      </w:r>
    </w:p>
    <w:p>
      <w:pPr>
        <w:pBdr>
          <w:left w:val="single" w:color="9C7A2E" w:sz="18" w:space="12"/>
        </w:pBdr>
        <w:spacing w:after="200" w:before="160"/>
        <w:ind w:left="500" w:right="500"/>
      </w:pPr>
      <w:r>
        <w:rPr>
          <w:i/>
          <w:iCs/>
          <w:color w:val="333333"/>
          <w:sz w:val="22"/>
          <w:szCs w:val="22"/>
        </w:rPr>
        <w:t xml:space="preserve">“The wealth engine is not a promise of magic numbers. It is the recovery of control. Britain stops paying for weakness, fragmentation, and dependency. Britain starts owning the system that keeps the country running.”</w:t>
      </w:r>
    </w:p>
    <w:p>
      <w:r>
        <w:br w:type="page"/>
      </w:r>
    </w:p>
    <w:p>
      <w:pPr>
        <w:pStyle w:val="Heading1"/>
      </w:pPr>
      <w:bookmarkStart w:name="ch7" w:id="1"/>
      <w:r>
        <w:rPr>
          <w:color w:val="9C7A2E"/>
          <w:sz w:val="22"/>
          <w:szCs w:val="22"/>
        </w:rPr>
        <w:t xml:space="preserve">Chapter 7 — Sovereignty &amp; Security</w:t>
      </w:r>
      <w:bookmarkEnd w:id="1"/>
    </w:p>
    <w:p>
      <w:pPr>
        <w:spacing w:after="240" w:before="60"/>
      </w:pPr>
      <w:r>
        <w:rPr>
          <w:b/>
          <w:bCs/>
          <w:color w:val="1B2A4A"/>
          <w:sz w:val="40"/>
          <w:szCs w:val="40"/>
        </w:rPr>
        <w:t xml:space="preserve">Sovereignty &amp; Security</w:t>
      </w:r>
    </w:p>
    <w:p>
      <w:pPr>
        <w:spacing w:after="300" w:line="300"/>
      </w:pPr>
      <w:r>
        <w:rPr>
          <w:i/>
          <w:iCs/>
          <w:color w:val="333333"/>
          <w:sz w:val="22"/>
          <w:szCs w:val="22"/>
        </w:rPr>
        <w:t xml:space="preserve">CFF's outputs — hydrogen, oxygen, heat, ultra-pure water, brine minerals, and firm nuclear power — are the raw inputs for industries Britain currently depends on imports to sustain. This chapter sets out the dependencies CFF breaks, on land and at sea.</w:t>
      </w:r>
    </w:p>
    <w:p>
      <w:pPr>
        <w:pStyle w:val="Heading2"/>
        <w:spacing w:after="160" w:before="300"/>
      </w:pPr>
      <w:bookmarkStart w:name="ch7a" w:id="1"/>
      <w:r>
        <w:rPr>
          <w:b/>
          <w:bCs/>
          <w:color w:val="1B2A4A"/>
        </w:rPr>
        <w:t xml:space="preserve">7a. Industrial Independence</w:t>
      </w:r>
      <w:bookmarkEnd w:id="1"/>
    </w:p>
    <w:p>
      <w:pPr>
        <w:pStyle w:val="ListParagraph"/>
        <w:numPr>
          <w:ilvl w:val="0"/>
          <w:numId w:val="1"/>
        </w:numPr>
        <w:spacing w:after="120" w:line="280"/>
      </w:pPr>
      <w:r>
        <w:rPr>
          <w:sz w:val="22"/>
          <w:szCs w:val="22"/>
        </w:rPr>
        <w:t xml:space="preserve">National Food Security: green hydrogen plus atmospheric nitrogen replaces gas-derived fertiliser. One site allocating just 10% of its hydrogen output can fertilise nearly the entire UK wheat crop, on 20-year fixed-price contracts that decouple British bread prices from global gas markets.</w:t>
      </w:r>
    </w:p>
    <w:p>
      <w:pPr>
        <w:pStyle w:val="ListParagraph"/>
        <w:numPr>
          <w:ilvl w:val="0"/>
          <w:numId w:val="1"/>
        </w:numPr>
        <w:spacing w:after="120" w:line="280"/>
      </w:pPr>
      <w:r>
        <w:rPr>
          <w:sz w:val="22"/>
          <w:szCs w:val="22"/>
        </w:rPr>
        <w:t xml:space="preserve">Sovereign Steel: green hydrogen enables Direct Reduced Iron steelmaking, replacing coking coal — the pathway already proven at commercial scale by Sweden's HYBRIT project.</w:t>
      </w:r>
    </w:p>
    <w:p>
      <w:pPr>
        <w:pStyle w:val="ListParagraph"/>
        <w:numPr>
          <w:ilvl w:val="0"/>
          <w:numId w:val="1"/>
        </w:numPr>
        <w:spacing w:after="120" w:line="280"/>
      </w:pPr>
      <w:r>
        <w:rPr>
          <w:sz w:val="22"/>
          <w:szCs w:val="22"/>
        </w:rPr>
        <w:t xml:space="preserve">Sovereign Cement &amp; Glass: hydrogen-fired kilns and oxy-fuel combustion using surplus oxygen decarbonise two of the most fossil-dependent foundation materials in construction.</w:t>
      </w:r>
    </w:p>
    <w:p>
      <w:pPr>
        <w:pStyle w:val="ListParagraph"/>
        <w:numPr>
          <w:ilvl w:val="0"/>
          <w:numId w:val="1"/>
        </w:numPr>
        <w:spacing w:after="120" w:line="280"/>
      </w:pPr>
      <w:r>
        <w:rPr>
          <w:sz w:val="22"/>
          <w:szCs w:val="22"/>
        </w:rPr>
        <w:t xml:space="preserve">Defence &amp; Emergency Fuels: green hydrogen plus captured CO₂ through Fischer-Tropsch synthesis produces drop-in synthetic diesel and kerosene for the military, the Royal Navy, the RAF, and emergency services — fuel that does not depend on Middle Eastern shipping lanes.</w:t>
      </w:r>
    </w:p>
    <w:p>
      <w:pPr>
        <w:pStyle w:val="ListParagraph"/>
        <w:numPr>
          <w:ilvl w:val="0"/>
          <w:numId w:val="1"/>
        </w:numPr>
        <w:spacing w:after="120" w:line="280"/>
      </w:pPr>
      <w:r>
        <w:rPr>
          <w:sz w:val="22"/>
          <w:szCs w:val="22"/>
        </w:rPr>
        <w:t xml:space="preserve">Semiconductor Manufacturing: the flexible industrial unit produces 50,000 m³/day of ultra-pure water per site — the exact volume a major chip fab needs — alongside firm baseload power and coastal cooling, drawn from committed process capacity rather than the drought reserve, so the fab's daily demand never eats into the site's emergency water security.</w:t>
      </w:r>
    </w:p>
    <w:p>
      <w:pPr>
        <w:pStyle w:val="ListParagraph"/>
        <w:numPr>
          <w:ilvl w:val="0"/>
          <w:numId w:val="1"/>
        </w:numPr>
        <w:spacing w:after="120" w:line="280"/>
      </w:pPr>
      <w:r>
        <w:rPr>
          <w:sz w:val="22"/>
          <w:szCs w:val="22"/>
        </w:rPr>
        <w:t xml:space="preserve">Green Methanol: CFF's 28 coastal sites sit near Britain's major ports, positioned to supply the next generation of methanol-powered container ships already being ordered by major shipping lines.</w:t>
      </w:r>
    </w:p>
    <w:p>
      <w:pPr>
        <w:pStyle w:val="ListParagraph"/>
        <w:numPr>
          <w:ilvl w:val="0"/>
          <w:numId w:val="1"/>
        </w:numPr>
        <w:spacing w:after="120" w:line="280"/>
      </w:pPr>
      <w:r>
        <w:rPr>
          <w:sz w:val="22"/>
          <w:szCs w:val="22"/>
        </w:rPr>
        <w:t xml:space="preserve">Critical Mineral Processing: hydrogen, heat, and ultra-pure water support lithium refining, rare earth separation, and cobalt/nickel hydrometallurgy on British soil, breaking China's near-monopoly on processing capacity.</w:t>
      </w:r>
    </w:p>
    <w:p>
      <w:pPr>
        <w:pStyle w:val="ListParagraph"/>
        <w:numPr>
          <w:ilvl w:val="0"/>
          <w:numId w:val="1"/>
        </w:numPr>
        <w:spacing w:after="120" w:line="280"/>
      </w:pPr>
      <w:r>
        <w:rPr>
          <w:sz w:val="22"/>
          <w:szCs w:val="22"/>
        </w:rPr>
        <w:t xml:space="preserve">Industrial Gas Independence: oxygen, nitrogen, and argon from a single sovereign platform, removing dependency on imported industrial gases entirely.</w:t>
      </w:r>
    </w:p>
    <w:p>
      <w:pPr>
        <w:spacing w:after="200" w:line="300"/>
      </w:pPr>
      <w:r>
        <w:rPr>
          <w:sz w:val="22"/>
          <w:szCs w:val="22"/>
        </w:rPr>
        <w:t xml:space="preserve">No other programme on Earth produces all of these from a single integrated platform. CFF does not just generate energy — it generates industrial independence, and that independence is the foundation of a sovereign nation.</w:t>
      </w:r>
    </w:p>
    <w:p>
      <w:pPr>
        <w:pStyle w:val="Heading2"/>
        <w:spacing w:after="160" w:before="300"/>
      </w:pPr>
      <w:bookmarkStart w:name="ch7b" w:id="1"/>
      <w:r>
        <w:rPr>
          <w:b/>
          <w:bCs/>
          <w:color w:val="1B2A4A"/>
        </w:rPr>
        <w:t xml:space="preserve">7b. Food &amp; Ocean Security</w:t>
      </w:r>
      <w:bookmarkEnd w:id="1"/>
    </w:p>
    <w:p>
      <w:pPr>
        <w:spacing w:after="200" w:line="300"/>
      </w:pPr>
      <w:r>
        <w:rPr>
          <w:sz w:val="22"/>
          <w:szCs w:val="22"/>
        </w:rPr>
        <w:t xml:space="preserve">CFF's primary mission is energy independence, but the infrastructure produces three things in limitless abundance: clean heat, desalinated water, and cheap electricity. Once you have all three, you can grow almost any crop and raise almost any fish species indoors, year-round, anywhere in Britain.</w:t>
      </w:r>
    </w:p>
    <w:p>
      <w:pPr>
        <w:spacing w:after="100" w:before="200"/>
      </w:pPr>
      <w:r>
        <w:rPr>
          <w:b/>
          <w:bCs/>
          <w:i/>
          <w:iCs/>
          <w:color w:val="1B2A4A"/>
          <w:sz w:val="22"/>
          <w:szCs w:val="22"/>
        </w:rPr>
        <w:t xml:space="preserve">The Import Killer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shd w:fill="1B2A4A" w:val="clear"/>
            <w:tcMar>
              <w:top w:type="dxa" w:w="80"/>
              <w:left w:type="dxa" w:w="100"/>
              <w:bottom w:type="dxa" w:w="80"/>
              <w:right w:type="dxa" w:w="100"/>
            </w:tcMar>
          </w:tcPr>
          <w:p>
            <w:r>
              <w:rPr>
                <w:b/>
                <w:bCs/>
                <w:color w:val="FFFFFF"/>
                <w:sz w:val="19"/>
                <w:szCs w:val="19"/>
              </w:rPr>
              <w:t xml:space="preserve">Product</w:t>
            </w:r>
          </w:p>
        </w:tc>
        <w:tc>
          <w:tcPr>
            <w:tcW w:type="pct" w:w="25%"/>
            <w:shd w:fill="1B2A4A" w:val="clear"/>
            <w:tcMar>
              <w:top w:type="dxa" w:w="80"/>
              <w:left w:type="dxa" w:w="100"/>
              <w:bottom w:type="dxa" w:w="80"/>
              <w:right w:type="dxa" w:w="100"/>
            </w:tcMar>
          </w:tcPr>
          <w:p>
            <w:r>
              <w:rPr>
                <w:b/>
                <w:bCs/>
                <w:color w:val="FFFFFF"/>
                <w:sz w:val="19"/>
                <w:szCs w:val="19"/>
              </w:rPr>
              <w:t xml:space="preserve">UK Import Bill</w:t>
            </w:r>
          </w:p>
        </w:tc>
        <w:tc>
          <w:tcPr>
            <w:tcW w:type="pct" w:w="25%"/>
            <w:shd w:fill="1B2A4A" w:val="clear"/>
            <w:tcMar>
              <w:top w:type="dxa" w:w="80"/>
              <w:left w:type="dxa" w:w="100"/>
              <w:bottom w:type="dxa" w:w="80"/>
              <w:right w:type="dxa" w:w="100"/>
            </w:tcMar>
          </w:tcPr>
          <w:p>
            <w:r>
              <w:rPr>
                <w:b/>
                <w:bCs/>
                <w:color w:val="FFFFFF"/>
                <w:sz w:val="19"/>
                <w:szCs w:val="19"/>
              </w:rPr>
              <w:t xml:space="preserve">Environmental Cost of the Status Quo</w:t>
            </w:r>
          </w:p>
        </w:tc>
        <w:tc>
          <w:tcPr>
            <w:tcW w:type="pct" w:w="25%"/>
            <w:shd w:fill="1B2A4A" w:val="clear"/>
            <w:tcMar>
              <w:top w:type="dxa" w:w="80"/>
              <w:left w:type="dxa" w:w="100"/>
              <w:bottom w:type="dxa" w:w="80"/>
              <w:right w:type="dxa" w:w="100"/>
            </w:tcMar>
          </w:tcPr>
          <w:p>
            <w:r>
              <w:rPr>
                <w:b/>
                <w:bCs/>
                <w:color w:val="FFFFFF"/>
                <w:sz w:val="19"/>
                <w:szCs w:val="19"/>
              </w:rPr>
              <w:t xml:space="preserve">CFF Answer</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Avocados</w:t>
            </w:r>
          </w:p>
        </w:tc>
        <w:tc>
          <w:tcPr>
            <w:tcW w:type="pct" w:w="25%"/>
            <w:tcMar>
              <w:top w:type="dxa" w:w="80"/>
              <w:left w:type="dxa" w:w="100"/>
              <w:bottom w:type="dxa" w:w="80"/>
              <w:right w:type="dxa" w:w="100"/>
            </w:tcMar>
          </w:tcPr>
          <w:p>
            <w:r>
              <w:rPr>
                <w:b w:val="false"/>
                <w:bCs w:val="false"/>
                <w:color w:val="000000"/>
                <w:sz w:val="19"/>
                <w:szCs w:val="19"/>
              </w:rPr>
              <w:t xml:space="preserve">~£300M/yr</w:t>
            </w:r>
          </w:p>
        </w:tc>
        <w:tc>
          <w:tcPr>
            <w:tcW w:type="pct" w:w="25%"/>
            <w:tcMar>
              <w:top w:type="dxa" w:w="80"/>
              <w:left w:type="dxa" w:w="100"/>
              <w:bottom w:type="dxa" w:w="80"/>
              <w:right w:type="dxa" w:w="100"/>
            </w:tcMar>
          </w:tcPr>
          <w:p>
            <w:r>
              <w:rPr>
                <w:b w:val="false"/>
                <w:bCs w:val="false"/>
                <w:color w:val="000000"/>
                <w:sz w:val="19"/>
                <w:szCs w:val="19"/>
              </w:rPr>
              <w:t xml:space="preserve">600–1,000 litres of water per kg from drought regions</w:t>
            </w:r>
          </w:p>
        </w:tc>
        <w:tc>
          <w:tcPr>
            <w:tcW w:type="pct" w:w="25%"/>
            <w:tcMar>
              <w:top w:type="dxa" w:w="80"/>
              <w:left w:type="dxa" w:w="100"/>
              <w:bottom w:type="dxa" w:w="80"/>
              <w:right w:type="dxa" w:w="100"/>
            </w:tcMar>
          </w:tcPr>
          <w:p>
            <w:r>
              <w:rPr>
                <w:b w:val="false"/>
                <w:bCs w:val="false"/>
                <w:color w:val="000000"/>
                <w:sz w:val="19"/>
                <w:szCs w:val="19"/>
              </w:rPr>
              <w:t xml:space="preserve">Closed-loop hydroponics, up to 90% less water</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Tomatoes</w:t>
            </w:r>
          </w:p>
        </w:tc>
        <w:tc>
          <w:tcPr>
            <w:tcW w:type="pct" w:w="25%"/>
            <w:tcMar>
              <w:top w:type="dxa" w:w="80"/>
              <w:left w:type="dxa" w:w="100"/>
              <w:bottom w:type="dxa" w:w="80"/>
              <w:right w:type="dxa" w:w="100"/>
            </w:tcMar>
          </w:tcPr>
          <w:p>
            <w:r>
              <w:rPr>
                <w:b w:val="false"/>
                <w:bCs w:val="false"/>
                <w:color w:val="000000"/>
                <w:sz w:val="19"/>
                <w:szCs w:val="19"/>
              </w:rPr>
              <w:t xml:space="preserve">~£800M/yr</w:t>
            </w:r>
          </w:p>
        </w:tc>
        <w:tc>
          <w:tcPr>
            <w:tcW w:type="pct" w:w="25%"/>
            <w:tcMar>
              <w:top w:type="dxa" w:w="80"/>
              <w:left w:type="dxa" w:w="100"/>
              <w:bottom w:type="dxa" w:w="80"/>
              <w:right w:type="dxa" w:w="100"/>
            </w:tcMar>
          </w:tcPr>
          <w:p>
            <w:r>
              <w:rPr>
                <w:b w:val="false"/>
                <w:bCs w:val="false"/>
                <w:color w:val="000000"/>
                <w:sz w:val="19"/>
                <w:szCs w:val="19"/>
              </w:rPr>
              <w:t xml:space="preserve">Dutch gas heating; Spanish aquifer depletion</w:t>
            </w:r>
          </w:p>
        </w:tc>
        <w:tc>
          <w:tcPr>
            <w:tcW w:type="pct" w:w="25%"/>
            <w:tcMar>
              <w:top w:type="dxa" w:w="80"/>
              <w:left w:type="dxa" w:w="100"/>
              <w:bottom w:type="dxa" w:w="80"/>
              <w:right w:type="dxa" w:w="100"/>
            </w:tcMar>
          </w:tcPr>
          <w:p>
            <w:r>
              <w:rPr>
                <w:b w:val="false"/>
                <w:bCs w:val="false"/>
                <w:color w:val="000000"/>
                <w:sz w:val="19"/>
                <w:szCs w:val="19"/>
              </w:rPr>
              <w:t xml:space="preserve">Free waste heat replaces gas; desalinated water replaces aquifer draw</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Cod &amp; Haddock</w:t>
            </w:r>
          </w:p>
        </w:tc>
        <w:tc>
          <w:tcPr>
            <w:tcW w:type="pct" w:w="25%"/>
            <w:tcMar>
              <w:top w:type="dxa" w:w="80"/>
              <w:left w:type="dxa" w:w="100"/>
              <w:bottom w:type="dxa" w:w="80"/>
              <w:right w:type="dxa" w:w="100"/>
            </w:tcMar>
          </w:tcPr>
          <w:p>
            <w:r>
              <w:rPr>
                <w:b w:val="false"/>
                <w:bCs w:val="false"/>
                <w:color w:val="000000"/>
                <w:sz w:val="19"/>
                <w:szCs w:val="19"/>
              </w:rPr>
              <w:t xml:space="preserve">~£682M/yr</w:t>
            </w:r>
          </w:p>
        </w:tc>
        <w:tc>
          <w:tcPr>
            <w:tcW w:type="pct" w:w="25%"/>
            <w:tcMar>
              <w:top w:type="dxa" w:w="80"/>
              <w:left w:type="dxa" w:w="100"/>
              <w:bottom w:type="dxa" w:w="80"/>
              <w:right w:type="dxa" w:w="100"/>
            </w:tcMar>
          </w:tcPr>
          <w:p>
            <w:r>
              <w:rPr>
                <w:b w:val="false"/>
                <w:bCs w:val="false"/>
                <w:color w:val="000000"/>
                <w:sz w:val="19"/>
                <w:szCs w:val="19"/>
              </w:rPr>
              <w:t xml:space="preserve">North Sea stocks at zero-catch crisis level</w:t>
            </w:r>
          </w:p>
        </w:tc>
        <w:tc>
          <w:tcPr>
            <w:tcW w:type="pct" w:w="25%"/>
            <w:tcMar>
              <w:top w:type="dxa" w:w="80"/>
              <w:left w:type="dxa" w:w="100"/>
              <w:bottom w:type="dxa" w:w="80"/>
              <w:right w:type="dxa" w:w="100"/>
            </w:tcMar>
          </w:tcPr>
          <w:p>
            <w:r>
              <w:rPr>
                <w:b w:val="false"/>
                <w:bCs w:val="false"/>
                <w:color w:val="000000"/>
                <w:sz w:val="19"/>
                <w:szCs w:val="19"/>
              </w:rPr>
              <w:t xml:space="preserve">Indoor RAS tanks at native cold-water temperatures</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Prawns &amp; Shrimp</w:t>
            </w:r>
          </w:p>
        </w:tc>
        <w:tc>
          <w:tcPr>
            <w:tcW w:type="pct" w:w="25%"/>
            <w:tcMar>
              <w:top w:type="dxa" w:w="80"/>
              <w:left w:type="dxa" w:w="100"/>
              <w:bottom w:type="dxa" w:w="80"/>
              <w:right w:type="dxa" w:w="100"/>
            </w:tcMar>
          </w:tcPr>
          <w:p>
            <w:r>
              <w:rPr>
                <w:b w:val="false"/>
                <w:bCs w:val="false"/>
                <w:color w:val="000000"/>
                <w:sz w:val="19"/>
                <w:szCs w:val="19"/>
              </w:rPr>
              <w:t xml:space="preserve">~£580M/yr</w:t>
            </w:r>
          </w:p>
        </w:tc>
        <w:tc>
          <w:tcPr>
            <w:tcW w:type="pct" w:w="25%"/>
            <w:tcMar>
              <w:top w:type="dxa" w:w="80"/>
              <w:left w:type="dxa" w:w="100"/>
              <w:bottom w:type="dxa" w:w="80"/>
              <w:right w:type="dxa" w:w="100"/>
            </w:tcMar>
          </w:tcPr>
          <w:p>
            <w:r>
              <w:rPr>
                <w:b w:val="false"/>
                <w:bCs w:val="false"/>
                <w:color w:val="000000"/>
                <w:sz w:val="19"/>
                <w:szCs w:val="19"/>
              </w:rPr>
              <w:t xml:space="preserve">38% of global mangroves destroyed by farming</w:t>
            </w:r>
          </w:p>
        </w:tc>
        <w:tc>
          <w:tcPr>
            <w:tcW w:type="pct" w:w="25%"/>
            <w:tcMar>
              <w:top w:type="dxa" w:w="80"/>
              <w:left w:type="dxa" w:w="100"/>
              <w:bottom w:type="dxa" w:w="80"/>
              <w:right w:type="dxa" w:w="100"/>
            </w:tcMar>
          </w:tcPr>
          <w:p>
            <w:r>
              <w:rPr>
                <w:b w:val="false"/>
                <w:bCs w:val="false"/>
                <w:color w:val="000000"/>
                <w:sz w:val="19"/>
                <w:szCs w:val="19"/>
              </w:rPr>
              <w:t xml:space="preserve">Warm-water RAS, zero antibiotics, zero deforestation</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Salmon</w:t>
            </w:r>
          </w:p>
        </w:tc>
        <w:tc>
          <w:tcPr>
            <w:tcW w:type="pct" w:w="25%"/>
            <w:tcMar>
              <w:top w:type="dxa" w:w="80"/>
              <w:left w:type="dxa" w:w="100"/>
              <w:bottom w:type="dxa" w:w="80"/>
              <w:right w:type="dxa" w:w="100"/>
            </w:tcMar>
          </w:tcPr>
          <w:p>
            <w:r>
              <w:rPr>
                <w:b w:val="false"/>
                <w:bCs w:val="false"/>
                <w:color w:val="000000"/>
                <w:sz w:val="19"/>
                <w:szCs w:val="19"/>
              </w:rPr>
              <w:t xml:space="preserve">~£743M/yr</w:t>
            </w:r>
          </w:p>
        </w:tc>
        <w:tc>
          <w:tcPr>
            <w:tcW w:type="pct" w:w="25%"/>
            <w:tcMar>
              <w:top w:type="dxa" w:w="80"/>
              <w:left w:type="dxa" w:w="100"/>
              <w:bottom w:type="dxa" w:w="80"/>
              <w:right w:type="dxa" w:w="100"/>
            </w:tcMar>
          </w:tcPr>
          <w:p>
            <w:r>
              <w:rPr>
                <w:b w:val="false"/>
                <w:bCs w:val="false"/>
                <w:color w:val="000000"/>
                <w:sz w:val="19"/>
                <w:szCs w:val="19"/>
              </w:rPr>
              <w:t xml:space="preserve">Sea lice, disease, antibiotic pollution</w:t>
            </w:r>
          </w:p>
        </w:tc>
        <w:tc>
          <w:tcPr>
            <w:tcW w:type="pct" w:w="25%"/>
            <w:tcMar>
              <w:top w:type="dxa" w:w="80"/>
              <w:left w:type="dxa" w:w="100"/>
              <w:bottom w:type="dxa" w:w="80"/>
              <w:right w:type="dxa" w:w="100"/>
            </w:tcMar>
          </w:tcPr>
          <w:p>
            <w:r>
              <w:rPr>
                <w:b w:val="false"/>
                <w:bCs w:val="false"/>
                <w:color w:val="000000"/>
                <w:sz w:val="19"/>
                <w:szCs w:val="19"/>
              </w:rPr>
              <w:t xml:space="preserve">Land-based RAS with free heat, water, and oxygen</w:t>
            </w:r>
          </w:p>
        </w:tc>
      </w:tr>
    </w:tbl>
    <w:p>
      <w:pPr>
        <w:spacing w:after="200"/>
      </w:pPr>
    </w:p>
    <w:p>
      <w:pPr>
        <w:spacing w:after="100" w:before="200"/>
      </w:pPr>
      <w:r>
        <w:rPr>
          <w:b/>
          <w:bCs/>
          <w:i/>
          <w:iCs/>
          <w:color w:val="1B2A4A"/>
          <w:sz w:val="22"/>
          <w:szCs w:val="22"/>
        </w:rPr>
        <w:t xml:space="preserve">The Ocean Pressure Valve</w:t>
      </w:r>
    </w:p>
    <w:p>
      <w:pPr>
        <w:spacing w:after="200" w:line="300"/>
      </w:pPr>
      <w:r>
        <w:rPr>
          <w:sz w:val="22"/>
          <w:szCs w:val="22"/>
        </w:rPr>
        <w:t xml:space="preserve">Britain imports over £4 billion of seafood a year, and half of the UK's top ten commercial fish stocks are critically low, overexploited, or both — ICES has recommended a zero-catch limit for North Sea cod in 2026. Every fish raised inside a closed CFF Recirculating Aquaculture System is a fish that never needs to be taken from the wild. Industrial wild-catch fishing kills an estimated 300,000 dolphins, whales, and porpoises a year as bycatch, along with 720,000 seabirds and 250,000 sea turtles, and releases roughly 370 million tonnes of CO₂ annually through bottom trawling — comparable to global aviation.</w:t>
      </w:r>
    </w:p>
    <w:p>
      <w:pPr>
        <w:spacing w:after="200" w:line="300"/>
      </w:pPr>
      <w:r>
        <w:rPr>
          <w:sz w:val="22"/>
          <w:szCs w:val="22"/>
        </w:rPr>
        <w:t xml:space="preserve">This is not framed as a threat to fishing communities. CFF facilities need people who understand fish species and behaviour, water quality management, handling, grading, and marine biology — the exact skillset fishing families already carry, passed down through generations. The transition is from dangerous, weather-dependent, declining work at sea to stable, year-round, better-paid indoor aquaculture within commuting distance of the same coastal community. The boats may eventually stop going out, but the fishing towns do not die — they become the centres of a new British aquaculture industry, built on the same knowledge and the same connection to the sea, without taking a single fish from it.</w:t>
      </w:r>
    </w:p>
    <w:p>
      <w:r>
        <w:br w:type="page"/>
      </w:r>
    </w:p>
    <w:p>
      <w:pPr>
        <w:pStyle w:val="Heading1"/>
      </w:pPr>
      <w:bookmarkStart w:name="ch8" w:id="1"/>
      <w:r>
        <w:rPr>
          <w:color w:val="9C7A2E"/>
          <w:sz w:val="22"/>
          <w:szCs w:val="22"/>
        </w:rPr>
        <w:t xml:space="preserve">Chapter 8 — Jobs &amp; Regeneration</w:t>
      </w:r>
      <w:bookmarkEnd w:id="1"/>
    </w:p>
    <w:p>
      <w:pPr>
        <w:spacing w:after="240" w:before="60"/>
      </w:pPr>
      <w:r>
        <w:rPr>
          <w:b/>
          <w:bCs/>
          <w:color w:val="1B2A4A"/>
          <w:sz w:val="40"/>
          <w:szCs w:val="40"/>
        </w:rPr>
        <w:t xml:space="preserve">Jobs &amp; Regeneration</w:t>
      </w:r>
    </w:p>
    <w:p>
      <w:pPr>
        <w:spacing w:after="300" w:line="300"/>
      </w:pPr>
      <w:r>
        <w:rPr>
          <w:i/>
          <w:iCs/>
          <w:color w:val="333333"/>
          <w:sz w:val="22"/>
          <w:szCs w:val="22"/>
        </w:rPr>
        <w:t xml:space="preserve">This is not framed as a formal fiscal forecast but as a political and economic argument: large-scale public employment, domestic supply-chain rebuilding, and import substitution can improve the public finances over time — and unlike welfare, it pays for itself.</w:t>
      </w:r>
    </w:p>
    <w:p>
      <w:pPr>
        <w:pStyle w:val="Heading2"/>
        <w:spacing w:after="160" w:before="300"/>
      </w:pPr>
      <w:bookmarkStart w:name="ch8a" w:id="1"/>
      <w:r>
        <w:rPr>
          <w:b/>
          <w:bCs/>
          <w:color w:val="1B2A4A"/>
        </w:rPr>
        <w:t xml:space="preserve">8a. The North Sea Worker Transition</w:t>
      </w:r>
      <w:bookmarkEnd w:id="1"/>
    </w:p>
    <w:p>
      <w:pPr>
        <w:spacing w:after="200" w:line="300"/>
      </w:pPr>
      <w:r>
        <w:rPr>
          <w:sz w:val="22"/>
          <w:szCs w:val="22"/>
        </w:rPr>
        <w:t xml:space="preserve">Roughly 35,000 North Sea workers face redundancy as fields close, taking with them 40-plus years of world-class offshore engineering expertise that Britain cannot afford to waste. CFF was conceived from day one as their answer.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shd w:fill="1B2A4A" w:val="clear"/>
            <w:tcMar>
              <w:top w:type="dxa" w:w="80"/>
              <w:left w:type="dxa" w:w="100"/>
              <w:bottom w:type="dxa" w:w="80"/>
              <w:right w:type="dxa" w:w="100"/>
            </w:tcMar>
          </w:tcPr>
          <w:p>
            <w:r>
              <w:rPr>
                <w:b/>
                <w:bCs/>
                <w:color w:val="FFFFFF"/>
                <w:sz w:val="19"/>
                <w:szCs w:val="19"/>
              </w:rPr>
              <w:t xml:space="preserve">North Sea Role</w:t>
            </w:r>
          </w:p>
        </w:tc>
        <w:tc>
          <w:tcPr>
            <w:tcW w:type="pct" w:w="50%"/>
            <w:shd w:fill="1B2A4A" w:val="clear"/>
            <w:tcMar>
              <w:top w:type="dxa" w:w="80"/>
              <w:left w:type="dxa" w:w="100"/>
              <w:bottom w:type="dxa" w:w="80"/>
              <w:right w:type="dxa" w:w="100"/>
            </w:tcMar>
          </w:tcPr>
          <w:p>
            <w:r>
              <w:rPr>
                <w:b/>
                <w:bCs/>
                <w:color w:val="FFFFFF"/>
                <w:sz w:val="19"/>
                <w:szCs w:val="19"/>
              </w:rPr>
              <w:t xml:space="preserve">CFF Equivalent</w:t>
            </w:r>
          </w:p>
        </w:tc>
      </w:tr>
      <w:tr>
        <w:trPr>
          <w:cantSplit/>
        </w:trPr>
        <w:tc>
          <w:tcPr>
            <w:tcW w:type="pct" w:w="50%"/>
            <w:tcMar>
              <w:top w:type="dxa" w:w="80"/>
              <w:left w:type="dxa" w:w="100"/>
              <w:bottom w:type="dxa" w:w="80"/>
              <w:right w:type="dxa" w:w="100"/>
            </w:tcMar>
          </w:tcPr>
          <w:p>
            <w:r>
              <w:rPr>
                <w:b w:val="false"/>
                <w:bCs w:val="false"/>
                <w:color w:val="000000"/>
                <w:sz w:val="19"/>
                <w:szCs w:val="19"/>
              </w:rPr>
              <w:t xml:space="preserve">Offshore Drilling Engineers</w:t>
            </w:r>
          </w:p>
        </w:tc>
        <w:tc>
          <w:tcPr>
            <w:tcW w:type="pct" w:w="50%"/>
            <w:tcMar>
              <w:top w:type="dxa" w:w="80"/>
              <w:left w:type="dxa" w:w="100"/>
              <w:bottom w:type="dxa" w:w="80"/>
              <w:right w:type="dxa" w:w="100"/>
            </w:tcMar>
          </w:tcPr>
          <w:p>
            <w:r>
              <w:rPr>
                <w:b w:val="false"/>
                <w:bCs w:val="false"/>
                <w:color w:val="000000"/>
                <w:sz w:val="19"/>
                <w:szCs w:val="19"/>
              </w:rPr>
              <w:t xml:space="preserve">HTGR Construction &amp; Commissioning Engineers</w:t>
            </w:r>
          </w:p>
        </w:tc>
      </w:tr>
      <w:tr>
        <w:trPr>
          <w:cantSplit/>
        </w:trPr>
        <w:tc>
          <w:tcPr>
            <w:tcW w:type="pct" w:w="50%"/>
            <w:tcMar>
              <w:top w:type="dxa" w:w="80"/>
              <w:left w:type="dxa" w:w="100"/>
              <w:bottom w:type="dxa" w:w="80"/>
              <w:right w:type="dxa" w:w="100"/>
            </w:tcMar>
          </w:tcPr>
          <w:p>
            <w:r>
              <w:rPr>
                <w:b w:val="false"/>
                <w:bCs w:val="false"/>
                <w:color w:val="000000"/>
                <w:sz w:val="19"/>
                <w:szCs w:val="19"/>
              </w:rPr>
              <w:t xml:space="preserve">Subsea Pipeline Engineers</w:t>
            </w:r>
          </w:p>
        </w:tc>
        <w:tc>
          <w:tcPr>
            <w:tcW w:type="pct" w:w="50%"/>
            <w:tcMar>
              <w:top w:type="dxa" w:w="80"/>
              <w:left w:type="dxa" w:w="100"/>
              <w:bottom w:type="dxa" w:w="80"/>
              <w:right w:type="dxa" w:w="100"/>
            </w:tcMar>
          </w:tcPr>
          <w:p>
            <w:r>
              <w:rPr>
                <w:b w:val="false"/>
                <w:bCs w:val="false"/>
                <w:color w:val="000000"/>
                <w:sz w:val="19"/>
                <w:szCs w:val="19"/>
              </w:rPr>
              <w:t xml:space="preserve">National Hydrogen Pipeline Network Engineers</w:t>
            </w:r>
          </w:p>
        </w:tc>
      </w:tr>
      <w:tr>
        <w:trPr>
          <w:cantSplit/>
        </w:trPr>
        <w:tc>
          <w:tcPr>
            <w:tcW w:type="pct" w:w="50%"/>
            <w:tcMar>
              <w:top w:type="dxa" w:w="80"/>
              <w:left w:type="dxa" w:w="100"/>
              <w:bottom w:type="dxa" w:w="80"/>
              <w:right w:type="dxa" w:w="100"/>
            </w:tcMar>
          </w:tcPr>
          <w:p>
            <w:r>
              <w:rPr>
                <w:b w:val="false"/>
                <w:bCs w:val="false"/>
                <w:color w:val="000000"/>
                <w:sz w:val="19"/>
                <w:szCs w:val="19"/>
              </w:rPr>
              <w:t xml:space="preserve">Offshore Platform Electricians</w:t>
            </w:r>
          </w:p>
        </w:tc>
        <w:tc>
          <w:tcPr>
            <w:tcW w:type="pct" w:w="50%"/>
            <w:tcMar>
              <w:top w:type="dxa" w:w="80"/>
              <w:left w:type="dxa" w:w="100"/>
              <w:bottom w:type="dxa" w:w="80"/>
              <w:right w:type="dxa" w:w="100"/>
            </w:tcMar>
          </w:tcPr>
          <w:p>
            <w:r>
              <w:rPr>
                <w:b w:val="false"/>
                <w:bCs w:val="false"/>
                <w:color w:val="000000"/>
                <w:sz w:val="19"/>
                <w:szCs w:val="19"/>
              </w:rPr>
              <w:t xml:space="preserve">HTSE Electrolyser &amp; Grid Integration Specialists</w:t>
            </w:r>
          </w:p>
        </w:tc>
      </w:tr>
      <w:tr>
        <w:trPr>
          <w:cantSplit/>
        </w:trPr>
        <w:tc>
          <w:tcPr>
            <w:tcW w:type="pct" w:w="50%"/>
            <w:tcMar>
              <w:top w:type="dxa" w:w="80"/>
              <w:left w:type="dxa" w:w="100"/>
              <w:bottom w:type="dxa" w:w="80"/>
              <w:right w:type="dxa" w:w="100"/>
            </w:tcMar>
          </w:tcPr>
          <w:p>
            <w:r>
              <w:rPr>
                <w:b w:val="false"/>
                <w:bCs w:val="false"/>
                <w:color w:val="000000"/>
                <w:sz w:val="19"/>
                <w:szCs w:val="19"/>
              </w:rPr>
              <w:t xml:space="preserve">Marine &amp; Diving Contractors</w:t>
            </w:r>
          </w:p>
        </w:tc>
        <w:tc>
          <w:tcPr>
            <w:tcW w:type="pct" w:w="50%"/>
            <w:tcMar>
              <w:top w:type="dxa" w:w="80"/>
              <w:left w:type="dxa" w:w="100"/>
              <w:bottom w:type="dxa" w:w="80"/>
              <w:right w:type="dxa" w:w="100"/>
            </w:tcMar>
          </w:tcPr>
          <w:p>
            <w:r>
              <w:rPr>
                <w:b w:val="false"/>
                <w:bCs w:val="false"/>
                <w:color w:val="000000"/>
                <w:sz w:val="19"/>
                <w:szCs w:val="19"/>
              </w:rPr>
              <w:t xml:space="preserve">Coastal Infrastructure &amp; Seawater Intake Builders</w:t>
            </w:r>
          </w:p>
        </w:tc>
      </w:tr>
      <w:tr>
        <w:trPr>
          <w:cantSplit/>
        </w:trPr>
        <w:tc>
          <w:tcPr>
            <w:tcW w:type="pct" w:w="50%"/>
            <w:tcMar>
              <w:top w:type="dxa" w:w="80"/>
              <w:left w:type="dxa" w:w="100"/>
              <w:bottom w:type="dxa" w:w="80"/>
              <w:right w:type="dxa" w:w="100"/>
            </w:tcMar>
          </w:tcPr>
          <w:p>
            <w:r>
              <w:rPr>
                <w:b w:val="false"/>
                <w:bCs w:val="false"/>
                <w:color w:val="000000"/>
                <w:sz w:val="19"/>
                <w:szCs w:val="19"/>
              </w:rPr>
              <w:t xml:space="preserve">Process Safety Engineers</w:t>
            </w:r>
          </w:p>
        </w:tc>
        <w:tc>
          <w:tcPr>
            <w:tcW w:type="pct" w:w="50%"/>
            <w:tcMar>
              <w:top w:type="dxa" w:w="80"/>
              <w:left w:type="dxa" w:w="100"/>
              <w:bottom w:type="dxa" w:w="80"/>
              <w:right w:type="dxa" w:w="100"/>
            </w:tcMar>
          </w:tcPr>
          <w:p>
            <w:r>
              <w:rPr>
                <w:b w:val="false"/>
                <w:bCs w:val="false"/>
                <w:color w:val="000000"/>
                <w:sz w:val="19"/>
                <w:szCs w:val="19"/>
              </w:rPr>
              <w:t xml:space="preserve">CFF Site Safety &amp; Nuclear Licensing</w:t>
            </w:r>
          </w:p>
        </w:tc>
      </w:tr>
      <w:tr>
        <w:trPr>
          <w:cantSplit/>
        </w:trPr>
        <w:tc>
          <w:tcPr>
            <w:tcW w:type="pct" w:w="50%"/>
            <w:tcMar>
              <w:top w:type="dxa" w:w="80"/>
              <w:left w:type="dxa" w:w="100"/>
              <w:bottom w:type="dxa" w:w="80"/>
              <w:right w:type="dxa" w:w="100"/>
            </w:tcMar>
          </w:tcPr>
          <w:p>
            <w:r>
              <w:rPr>
                <w:b w:val="false"/>
                <w:bCs w:val="false"/>
                <w:color w:val="000000"/>
                <w:sz w:val="19"/>
                <w:szCs w:val="19"/>
              </w:rPr>
              <w:t xml:space="preserve">Offshore Logistics &amp; Operations Managers</w:t>
            </w:r>
          </w:p>
        </w:tc>
        <w:tc>
          <w:tcPr>
            <w:tcW w:type="pct" w:w="50%"/>
            <w:tcMar>
              <w:top w:type="dxa" w:w="80"/>
              <w:left w:type="dxa" w:w="100"/>
              <w:bottom w:type="dxa" w:w="80"/>
              <w:right w:type="dxa" w:w="100"/>
            </w:tcMar>
          </w:tcPr>
          <w:p>
            <w:r>
              <w:rPr>
                <w:b w:val="false"/>
                <w:bCs w:val="false"/>
                <w:color w:val="000000"/>
                <w:sz w:val="19"/>
                <w:szCs w:val="19"/>
              </w:rPr>
              <w:t xml:space="preserve">CFF Mega-Site Operations Directors</w:t>
            </w:r>
          </w:p>
        </w:tc>
      </w:tr>
    </w:tbl>
    <w:p>
      <w:pPr>
        <w:spacing w:after="200"/>
      </w:pPr>
    </w:p>
    <w:p>
      <w:pPr>
        <w:spacing w:after="200" w:line="300"/>
      </w:pPr>
      <w:r>
        <w:rPr>
          <w:sz w:val="22"/>
          <w:szCs w:val="22"/>
        </w:rPr>
        <w:t xml:space="preserve">CFF sites are deliberately sited where North Sea workers already live — Aberdeen and Aberdeenshire, Humberside and Teesside, Great Yarmouth and Norfolk, the Cromarty Firth. Same coast, same skills, same wages where required, and a 200-year career rather than a five-year contract.</w:t>
      </w:r>
    </w:p>
    <w:p>
      <w:pPr>
        <w:pBdr>
          <w:left w:val="single" w:color="9C7A2E" w:sz="18" w:space="12"/>
        </w:pBdr>
        <w:spacing w:after="200" w:before="160"/>
        <w:ind w:left="500" w:right="500"/>
      </w:pPr>
      <w:r>
        <w:rPr>
          <w:i/>
          <w:iCs/>
          <w:color w:val="333333"/>
          <w:sz w:val="22"/>
          <w:szCs w:val="22"/>
        </w:rPr>
        <w:t xml:space="preserve">“You didn't choose to work in fossil fuels. You chose to work hard, develop world-class skills, and provide for your families. Britain owes you a future — not a redundancy cheque. CFF is that future.”</w:t>
      </w:r>
    </w:p>
    <w:p>
      <w:pPr>
        <w:pStyle w:val="Heading2"/>
        <w:spacing w:after="160" w:before="300"/>
      </w:pPr>
      <w:bookmarkStart w:name="ch8b" w:id="1"/>
      <w:r>
        <w:rPr>
          <w:b/>
          <w:bCs/>
          <w:color w:val="1B2A4A"/>
        </w:rPr>
        <w:t xml:space="preserve">8b. Where the 18,000 Jobs Per Site Come From</w:t>
      </w:r>
      <w:bookmarkEnd w:id="1"/>
    </w:p>
    <w:p>
      <w:pPr>
        <w:spacing w:after="200" w:line="300"/>
      </w:pPr>
      <w:r>
        <w:rPr>
          <w:sz w:val="22"/>
          <w:szCs w:val="22"/>
        </w:rPr>
        <w:t xml:space="preserve">The ~18,000 figure is not one number — it is six categories of employment spanning the entire life of a CFF site, from the first survey peg in the ground to the food on your plate 200 years later.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Phase</w:t>
            </w:r>
          </w:p>
        </w:tc>
        <w:tc>
          <w:tcPr>
            <w:tcW w:type="pct" w:w="33%"/>
            <w:shd w:fill="1B2A4A" w:val="clear"/>
            <w:tcMar>
              <w:top w:type="dxa" w:w="80"/>
              <w:left w:type="dxa" w:w="100"/>
              <w:bottom w:type="dxa" w:w="80"/>
              <w:right w:type="dxa" w:w="100"/>
            </w:tcMar>
          </w:tcPr>
          <w:p>
            <w:r>
              <w:rPr>
                <w:b/>
                <w:bCs/>
                <w:color w:val="FFFFFF"/>
                <w:sz w:val="19"/>
                <w:szCs w:val="19"/>
              </w:rPr>
              <w:t xml:space="preserve">Approx. Roles</w:t>
            </w:r>
          </w:p>
        </w:tc>
        <w:tc>
          <w:tcPr>
            <w:tcW w:type="pct" w:w="33%"/>
            <w:shd w:fill="1B2A4A" w:val="clear"/>
            <w:tcMar>
              <w:top w:type="dxa" w:w="80"/>
              <w:left w:type="dxa" w:w="100"/>
              <w:bottom w:type="dxa" w:w="80"/>
              <w:right w:type="dxa" w:w="100"/>
            </w:tcMar>
          </w:tcPr>
          <w:p>
            <w:r>
              <w:rPr>
                <w:b/>
                <w:bCs/>
                <w:color w:val="FFFFFF"/>
                <w:sz w:val="19"/>
                <w:szCs w:val="19"/>
              </w:rPr>
              <w:t xml:space="preserve">What It Covers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Surveying, Planning &amp; Licensing</w:t>
            </w:r>
          </w:p>
        </w:tc>
        <w:tc>
          <w:tcPr>
            <w:tcW w:type="pct" w:w="33%"/>
            <w:tcMar>
              <w:top w:type="dxa" w:w="80"/>
              <w:left w:type="dxa" w:w="100"/>
              <w:bottom w:type="dxa" w:w="80"/>
              <w:right w:type="dxa" w:w="100"/>
            </w:tcMar>
          </w:tcPr>
          <w:p>
            <w:r>
              <w:rPr>
                <w:b w:val="false"/>
                <w:bCs w:val="false"/>
                <w:color w:val="000000"/>
                <w:sz w:val="19"/>
                <w:szCs w:val="19"/>
              </w:rPr>
              <w:t xml:space="preserve">~800</w:t>
            </w:r>
          </w:p>
        </w:tc>
        <w:tc>
          <w:tcPr>
            <w:tcW w:type="pct" w:w="33%"/>
            <w:tcMar>
              <w:top w:type="dxa" w:w="80"/>
              <w:left w:type="dxa" w:w="100"/>
              <w:bottom w:type="dxa" w:w="80"/>
              <w:right w:type="dxa" w:w="100"/>
            </w:tcMar>
          </w:tcPr>
          <w:p>
            <w:r>
              <w:rPr>
                <w:b w:val="false"/>
                <w:bCs w:val="false"/>
                <w:color w:val="000000"/>
                <w:sz w:val="19"/>
                <w:szCs w:val="19"/>
              </w:rPr>
              <w:t xml:space="preserve">Marine and land surveys, environmental assessment, ONR licensing, planning</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Construction &amp; Civil Engineering</w:t>
            </w:r>
          </w:p>
        </w:tc>
        <w:tc>
          <w:tcPr>
            <w:tcW w:type="pct" w:w="33%"/>
            <w:tcMar>
              <w:top w:type="dxa" w:w="80"/>
              <w:left w:type="dxa" w:w="100"/>
              <w:bottom w:type="dxa" w:w="80"/>
              <w:right w:type="dxa" w:w="100"/>
            </w:tcMar>
          </w:tcPr>
          <w:p>
            <w:r>
              <w:rPr>
                <w:b w:val="false"/>
                <w:bCs w:val="false"/>
                <w:color w:val="000000"/>
                <w:sz w:val="19"/>
                <w:szCs w:val="19"/>
              </w:rPr>
              <w:t xml:space="preserve">~3,200</w:t>
            </w:r>
          </w:p>
        </w:tc>
        <w:tc>
          <w:tcPr>
            <w:tcW w:type="pct" w:w="33%"/>
            <w:tcMar>
              <w:top w:type="dxa" w:w="80"/>
              <w:left w:type="dxa" w:w="100"/>
              <w:bottom w:type="dxa" w:w="80"/>
              <w:right w:type="dxa" w:w="100"/>
            </w:tcMar>
          </w:tcPr>
          <w:p>
            <w:r>
              <w:rPr>
                <w:b w:val="false"/>
                <w:bCs w:val="false"/>
                <w:color w:val="000000"/>
                <w:sz w:val="19"/>
                <w:szCs w:val="19"/>
              </w:rPr>
              <w:t xml:space="preserve">Earth berms, foundations, marine works, welding — permanent, not temporary, given rolling module replacement</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Module Installation &amp; Commissioning</w:t>
            </w:r>
          </w:p>
        </w:tc>
        <w:tc>
          <w:tcPr>
            <w:tcW w:type="pct" w:w="33%"/>
            <w:tcMar>
              <w:top w:type="dxa" w:w="80"/>
              <w:left w:type="dxa" w:w="100"/>
              <w:bottom w:type="dxa" w:w="80"/>
              <w:right w:type="dxa" w:w="100"/>
            </w:tcMar>
          </w:tcPr>
          <w:p>
            <w:r>
              <w:rPr>
                <w:b w:val="false"/>
                <w:bCs w:val="false"/>
                <w:color w:val="000000"/>
                <w:sz w:val="19"/>
                <w:szCs w:val="19"/>
              </w:rPr>
              <w:t xml:space="preserve">~2,400</w:t>
            </w:r>
          </w:p>
        </w:tc>
        <w:tc>
          <w:tcPr>
            <w:tcW w:type="pct" w:w="33%"/>
            <w:tcMar>
              <w:top w:type="dxa" w:w="80"/>
              <w:left w:type="dxa" w:w="100"/>
              <w:bottom w:type="dxa" w:w="80"/>
              <w:right w:type="dxa" w:w="100"/>
            </w:tcMar>
          </w:tcPr>
          <w:p>
            <w:r>
              <w:rPr>
                <w:b w:val="false"/>
                <w:bCs w:val="false"/>
                <w:color w:val="000000"/>
                <w:sz w:val="19"/>
                <w:szCs w:val="19"/>
              </w:rPr>
              <w:t xml:space="preserve">HTGR module installation, HTSE technicians, high-voltage engineers, nuclear commissioning</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Permanent Site Operations (200 years)</w:t>
            </w:r>
          </w:p>
        </w:tc>
        <w:tc>
          <w:tcPr>
            <w:tcW w:type="pct" w:w="33%"/>
            <w:tcMar>
              <w:top w:type="dxa" w:w="80"/>
              <w:left w:type="dxa" w:w="100"/>
              <w:bottom w:type="dxa" w:w="80"/>
              <w:right w:type="dxa" w:w="100"/>
            </w:tcMar>
          </w:tcPr>
          <w:p>
            <w:r>
              <w:rPr>
                <w:b w:val="false"/>
                <w:bCs w:val="false"/>
                <w:color w:val="000000"/>
                <w:sz w:val="19"/>
                <w:szCs w:val="19"/>
              </w:rPr>
              <w:t xml:space="preserve">~4,200</w:t>
            </w:r>
          </w:p>
        </w:tc>
        <w:tc>
          <w:tcPr>
            <w:tcW w:type="pct" w:w="33%"/>
            <w:tcMar>
              <w:top w:type="dxa" w:w="80"/>
              <w:left w:type="dxa" w:w="100"/>
              <w:bottom w:type="dxa" w:w="80"/>
              <w:right w:type="dxa" w:w="100"/>
            </w:tcMar>
          </w:tcPr>
          <w:p>
            <w:r>
              <w:rPr>
                <w:b w:val="false"/>
                <w:bCs w:val="false"/>
                <w:color w:val="000000"/>
                <w:sz w:val="19"/>
                <w:szCs w:val="19"/>
              </w:rPr>
              <w:t xml:space="preserve">Reactor operators, hydrogen controllers, grid dispatch, maintenance, security</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The Halo Economy</w:t>
            </w:r>
          </w:p>
        </w:tc>
        <w:tc>
          <w:tcPr>
            <w:tcW w:type="pct" w:w="33%"/>
            <w:tcMar>
              <w:top w:type="dxa" w:w="80"/>
              <w:left w:type="dxa" w:w="100"/>
              <w:bottom w:type="dxa" w:w="80"/>
              <w:right w:type="dxa" w:w="100"/>
            </w:tcMar>
          </w:tcPr>
          <w:p>
            <w:r>
              <w:rPr>
                <w:b w:val="false"/>
                <w:bCs w:val="false"/>
                <w:color w:val="000000"/>
                <w:sz w:val="19"/>
                <w:szCs w:val="19"/>
              </w:rPr>
              <w:t xml:space="preserve">~4,600</w:t>
            </w:r>
          </w:p>
        </w:tc>
        <w:tc>
          <w:tcPr>
            <w:tcW w:type="pct" w:w="33%"/>
            <w:tcMar>
              <w:top w:type="dxa" w:w="80"/>
              <w:left w:type="dxa" w:w="100"/>
              <w:bottom w:type="dxa" w:w="80"/>
              <w:right w:type="dxa" w:w="100"/>
            </w:tcMar>
          </w:tcPr>
          <w:p>
            <w:r>
              <w:rPr>
                <w:b w:val="false"/>
                <w:bCs w:val="false"/>
                <w:color w:val="000000"/>
                <w:sz w:val="19"/>
                <w:szCs w:val="19"/>
              </w:rPr>
              <w:t xml:space="preserve">Aquaponics, hydroponics, food processing, brine mineral and oxygen processing — jobs that exist because the site exists</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Supply Chain, Transport &amp; Heat Halo Network</w:t>
            </w:r>
          </w:p>
        </w:tc>
        <w:tc>
          <w:tcPr>
            <w:tcW w:type="pct" w:w="33%"/>
            <w:tcMar>
              <w:top w:type="dxa" w:w="80"/>
              <w:left w:type="dxa" w:w="100"/>
              <w:bottom w:type="dxa" w:w="80"/>
              <w:right w:type="dxa" w:w="100"/>
            </w:tcMar>
          </w:tcPr>
          <w:p>
            <w:r>
              <w:rPr>
                <w:b w:val="false"/>
                <w:bCs w:val="false"/>
                <w:color w:val="000000"/>
                <w:sz w:val="19"/>
                <w:szCs w:val="19"/>
              </w:rPr>
              <w:t xml:space="preserve">~2,800</w:t>
            </w:r>
          </w:p>
        </w:tc>
        <w:tc>
          <w:tcPr>
            <w:tcW w:type="pct" w:w="33%"/>
            <w:tcMar>
              <w:top w:type="dxa" w:w="80"/>
              <w:left w:type="dxa" w:w="100"/>
              <w:bottom w:type="dxa" w:w="80"/>
              <w:right w:type="dxa" w:w="100"/>
            </w:tcMar>
          </w:tcPr>
          <w:p>
            <w:r>
              <w:rPr>
                <w:b w:val="false"/>
                <w:bCs w:val="false"/>
                <w:color w:val="000000"/>
                <w:sz w:val="19"/>
                <w:szCs w:val="19"/>
              </w:rPr>
              <w:t xml:space="preserve">HGV logistics, component manufacturing, district heating installation and maintenance</w:t>
            </w:r>
          </w:p>
        </w:tc>
      </w:tr>
    </w:tbl>
    <w:p>
      <w:pPr>
        <w:spacing w:after="200"/>
      </w:pPr>
    </w:p>
    <w:p>
      <w:pPr>
        <w:spacing w:after="200" w:line="300"/>
      </w:pPr>
      <w:r>
        <w:rPr>
          <w:sz w:val="22"/>
          <w:szCs w:val="22"/>
        </w:rPr>
        <w:t xml:space="preserve">Across the full fleet: ~18,000 per site × 28 sites = ~500,000 jobs nationally, spanning the entire skills spectrum from entry-level warehouse and catering roles (£24–27K) through skilled trades (£35–52K) to nuclear operators and site directors (£60–110K).</w:t>
      </w:r>
    </w:p>
    <w:p>
      <w:pPr>
        <w:pStyle w:val="Heading2"/>
        <w:spacing w:after="160" w:before="300"/>
      </w:pPr>
      <w:bookmarkStart w:name="ch8c" w:id="1"/>
      <w:r>
        <w:rPr>
          <w:b/>
          <w:bCs/>
          <w:color w:val="1B2A4A"/>
        </w:rPr>
        <w:t xml:space="preserve">8c. The Renewal Question</w:t>
      </w:r>
      <w:bookmarkEnd w:id="1"/>
    </w:p>
    <w:p>
      <w:pPr>
        <w:spacing w:after="200" w:line="300"/>
      </w:pPr>
      <w:r>
        <w:rPr>
          <w:sz w:val="22"/>
          <w:szCs w:val="22"/>
        </w:rPr>
        <w:t xml:space="preserve">Wind farms last 25 years. Solar panels degrade and die. Grid batteries need replacing every 15 to 20 years. When Britain's renewable infrastructure reaches end of life, there are only two real options: rebuild the same foreign-owned, intermittent systems, or replace them with something permanent.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shd w:fill="1B2A4A" w:val="clear"/>
            <w:tcMar>
              <w:top w:type="dxa" w:w="80"/>
              <w:left w:type="dxa" w:w="100"/>
              <w:bottom w:type="dxa" w:w="80"/>
              <w:right w:type="dxa" w:w="100"/>
            </w:tcMar>
          </w:tcPr>
          <w:p>
            <w:r>
              <w:rPr>
                <w:b/>
                <w:bCs/>
                <w:color w:val="FFFFFF"/>
                <w:sz w:val="19"/>
                <w:szCs w:val="19"/>
              </w:rPr>
              <w:t xml:space="preserve">Infrastructure</w:t>
            </w:r>
          </w:p>
        </w:tc>
        <w:tc>
          <w:tcPr>
            <w:tcW w:type="pct" w:w="33%"/>
            <w:shd w:fill="1B2A4A" w:val="clear"/>
            <w:tcMar>
              <w:top w:type="dxa" w:w="80"/>
              <w:left w:type="dxa" w:w="100"/>
              <w:bottom w:type="dxa" w:w="80"/>
              <w:right w:type="dxa" w:w="100"/>
            </w:tcMar>
          </w:tcPr>
          <w:p>
            <w:r>
              <w:rPr>
                <w:b/>
                <w:bCs/>
                <w:color w:val="FFFFFF"/>
                <w:sz w:val="19"/>
                <w:szCs w:val="19"/>
              </w:rPr>
              <w:t xml:space="preserve">200-Year Total Cost (matching CFF's actual output)</w:t>
            </w:r>
          </w:p>
        </w:tc>
        <w:tc>
          <w:tcPr>
            <w:tcW w:type="pct" w:w="33%"/>
            <w:shd w:fill="1B2A4A" w:val="clear"/>
            <w:tcMar>
              <w:top w:type="dxa" w:w="80"/>
              <w:left w:type="dxa" w:w="100"/>
              <w:bottom w:type="dxa" w:w="80"/>
              <w:right w:type="dxa" w:w="100"/>
            </w:tcMar>
          </w:tcPr>
          <w:p>
            <w:r>
              <w:rPr>
                <w:b/>
                <w:bCs/>
                <w:color w:val="FFFFFF"/>
                <w:sz w:val="19"/>
                <w:szCs w:val="19"/>
              </w:rPr>
              <w:t xml:space="preserve">Note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Offshore Wind (rebuilt 8 times)</w:t>
            </w:r>
          </w:p>
        </w:tc>
        <w:tc>
          <w:tcPr>
            <w:tcW w:type="pct" w:w="33%"/>
            <w:tcMar>
              <w:top w:type="dxa" w:w="80"/>
              <w:left w:type="dxa" w:w="100"/>
              <w:bottom w:type="dxa" w:w="80"/>
              <w:right w:type="dxa" w:w="100"/>
            </w:tcMar>
          </w:tcPr>
          <w:p>
            <w:r>
              <w:rPr>
                <w:b w:val="false"/>
                <w:bCs w:val="false"/>
                <w:color w:val="000000"/>
                <w:sz w:val="19"/>
                <w:szCs w:val="19"/>
              </w:rPr>
              <w:t xml:space="preserve">£162 billion</w:t>
            </w:r>
          </w:p>
        </w:tc>
        <w:tc>
          <w:tcPr>
            <w:tcW w:type="pct" w:w="33%"/>
            <w:tcMar>
              <w:top w:type="dxa" w:w="80"/>
              <w:left w:type="dxa" w:w="100"/>
              <w:bottom w:type="dxa" w:w="80"/>
              <w:right w:type="dxa" w:w="100"/>
            </w:tcMar>
          </w:tcPr>
          <w:p>
            <w:r>
              <w:rPr>
                <w:b w:val="false"/>
                <w:bCs w:val="false"/>
                <w:color w:val="000000"/>
                <w:sz w:val="19"/>
                <w:szCs w:val="19"/>
              </w:rPr>
              <w:t xml:space="preserve">Same actual electricity as one CFF site; still nothing during a Dunkelflaute</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Solar (rebuilt 7 times)</w:t>
            </w:r>
          </w:p>
        </w:tc>
        <w:tc>
          <w:tcPr>
            <w:tcW w:type="pct" w:w="33%"/>
            <w:tcMar>
              <w:top w:type="dxa" w:w="80"/>
              <w:left w:type="dxa" w:w="100"/>
              <w:bottom w:type="dxa" w:w="80"/>
              <w:right w:type="dxa" w:w="100"/>
            </w:tcMar>
          </w:tcPr>
          <w:p>
            <w:r>
              <w:rPr>
                <w:b w:val="false"/>
                <w:bCs w:val="false"/>
                <w:color w:val="000000"/>
                <w:sz w:val="19"/>
                <w:szCs w:val="19"/>
              </w:rPr>
              <w:t xml:space="preserve">£216 billion</w:t>
            </w:r>
          </w:p>
        </w:tc>
        <w:tc>
          <w:tcPr>
            <w:tcW w:type="pct" w:w="33%"/>
            <w:tcMar>
              <w:top w:type="dxa" w:w="80"/>
              <w:left w:type="dxa" w:w="100"/>
              <w:bottom w:type="dxa" w:w="80"/>
              <w:right w:type="dxa" w:w="100"/>
            </w:tcMar>
          </w:tcPr>
          <w:p>
            <w:r>
              <w:rPr>
                <w:b w:val="false"/>
                <w:bCs w:val="false"/>
                <w:color w:val="000000"/>
                <w:sz w:val="19"/>
                <w:szCs w:val="19"/>
              </w:rPr>
              <w:t xml:space="preserve">~32,400 hectares of land — the size of Greater Manchester</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Batteries (10–13 replacement cycles)</w:t>
            </w:r>
          </w:p>
        </w:tc>
        <w:tc>
          <w:tcPr>
            <w:tcW w:type="pct" w:w="33%"/>
            <w:tcMar>
              <w:top w:type="dxa" w:w="80"/>
              <w:left w:type="dxa" w:w="100"/>
              <w:bottom w:type="dxa" w:w="80"/>
              <w:right w:type="dxa" w:w="100"/>
            </w:tcMar>
          </w:tcPr>
          <w:p>
            <w:r>
              <w:rPr>
                <w:b w:val="false"/>
                <w:bCs w:val="false"/>
                <w:color w:val="000000"/>
                <w:sz w:val="19"/>
                <w:szCs w:val="19"/>
              </w:rPr>
              <w:t xml:space="preserve">£8–10.4 trillion</w:t>
            </w:r>
          </w:p>
        </w:tc>
        <w:tc>
          <w:tcPr>
            <w:tcW w:type="pct" w:w="33%"/>
            <w:tcMar>
              <w:top w:type="dxa" w:w="80"/>
              <w:left w:type="dxa" w:w="100"/>
              <w:bottom w:type="dxa" w:w="80"/>
              <w:right w:type="dxa" w:w="100"/>
            </w:tcMar>
          </w:tcPr>
          <w:p>
            <w:r>
              <w:rPr>
                <w:b w:val="false"/>
                <w:bCs w:val="false"/>
                <w:color w:val="000000"/>
                <w:sz w:val="19"/>
                <w:szCs w:val="19"/>
              </w:rPr>
              <w:t xml:space="preserve">For 8 TWh of seasonal storage alone, before generation is even built</w:t>
            </w:r>
          </w:p>
        </w:tc>
      </w:tr>
      <w:tr>
        <w:trPr>
          <w:cantSplit/>
        </w:trPr>
        <w:tc>
          <w:tcPr>
            <w:tcW w:type="pct" w:w="33%"/>
            <w:tcMar>
              <w:top w:type="dxa" w:w="80"/>
              <w:left w:type="dxa" w:w="100"/>
              <w:bottom w:type="dxa" w:w="80"/>
              <w:right w:type="dxa" w:w="100"/>
            </w:tcMar>
          </w:tcPr>
          <w:p>
            <w:r>
              <w:rPr>
                <w:b w:val="false"/>
                <w:bCs w:val="false"/>
                <w:color w:val="000000"/>
                <w:sz w:val="19"/>
                <w:szCs w:val="19"/>
              </w:rPr>
              <w:t xml:space="preserve">One CFF Site, Power &amp; Heat Only* (built once)</w:t>
            </w:r>
          </w:p>
        </w:tc>
        <w:tc>
          <w:tcPr>
            <w:tcW w:type="pct" w:w="33%"/>
            <w:tcMar>
              <w:top w:type="dxa" w:w="80"/>
              <w:left w:type="dxa" w:w="100"/>
              <w:bottom w:type="dxa" w:w="80"/>
              <w:right w:type="dxa" w:w="100"/>
            </w:tcMar>
          </w:tcPr>
          <w:p>
            <w:r>
              <w:rPr>
                <w:b w:val="false"/>
                <w:bCs w:val="false"/>
                <w:color w:val="000000"/>
                <w:sz w:val="19"/>
                <w:szCs w:val="19"/>
              </w:rPr>
              <w:t xml:space="preserve">£9.7 billion</w:t>
            </w:r>
          </w:p>
        </w:tc>
        <w:tc>
          <w:tcPr>
            <w:tcW w:type="pct" w:w="33%"/>
            <w:tcMar>
              <w:top w:type="dxa" w:w="80"/>
              <w:left w:type="dxa" w:w="100"/>
              <w:bottom w:type="dxa" w:w="80"/>
              <w:right w:type="dxa" w:w="100"/>
            </w:tcMar>
          </w:tcPr>
          <w:p>
            <w:r>
              <w:rPr>
                <w:b w:val="false"/>
                <w:bCs w:val="false"/>
                <w:color w:val="000000"/>
                <w:sz w:val="19"/>
                <w:szCs w:val="19"/>
              </w:rPr>
              <w:t xml:space="preserve">200-year design life, 280,000–500,000 homes heated, works day or night, all year</w:t>
            </w:r>
          </w:p>
        </w:tc>
      </w:tr>
    </w:tbl>
    <w:p>
      <w:pPr>
        <w:spacing w:after="200"/>
      </w:pPr>
    </w:p>
    <w:p>
      <w:pPr>
        <w:spacing w:after="200" w:line="300"/>
      </w:pPr>
      <w:r>
        <w:rPr>
          <w:sz w:val="22"/>
          <w:szCs w:val="22"/>
        </w:rPr>
        <w:t xml:space="preserve">*This £9.7 billion figure is not the same site quoted elsewhere in this book. It strips CFF down to power generation and district heating only — no hydrogen, no desalination, no industrial outputs — specifically so it can be compared like-for-like against wind and solar, which also only generate electricity. The full six-output CFF site referenced throughout the rest of this book, complete with hydrogen, desalination, and industrial co-products, is costed at £15 billion at series-production scale. Both figures are correct; they are simply answering different questions.</w:t>
      </w:r>
    </w:p>
    <w:p>
      <w:pPr>
        <w:spacing w:after="200" w:line="300"/>
      </w:pPr>
      <w:r>
        <w:rPr>
          <w:sz w:val="22"/>
          <w:szCs w:val="22"/>
        </w:rPr>
        <w:t xml:space="preserve">This is not an argument against wind and solar — they exist, they generate electricity, and they have a role in the current mix. The argument is about what happens next. Keep existing renewables running until end of life. But when they need replacing, build permanent British assets instead of rebuilding the same foreign-owned infrastructure on a 25-year loop. 42.2% of UK offshore wind is currently owned by foreign state-controlled entities; UK public entities own 0.03%. CFF proposes an inland Tier 2 model too — sites built on former coal and gas power station brownfield land, using existing grid connections, to permanently replace ageing renewables as they retire.</w:t>
      </w:r>
    </w:p>
    <w:p>
      <w:pPr>
        <w:spacing w:after="100" w:before="200"/>
      </w:pPr>
      <w:r>
        <w:rPr>
          <w:b/>
          <w:bCs/>
          <w:i/>
          <w:iCs/>
          <w:color w:val="1B2A4A"/>
          <w:sz w:val="22"/>
          <w:szCs w:val="22"/>
        </w:rPr>
        <w:t xml:space="preserve">The Logic Doesn't Hold Up on an Island With Finite Land</w:t>
      </w:r>
    </w:p>
    <w:p>
      <w:pPr>
        <w:spacing w:after="200" w:line="300"/>
      </w:pPr>
      <w:r>
        <w:rPr>
          <w:sz w:val="22"/>
          <w:szCs w:val="22"/>
        </w:rPr>
        <w:t xml:space="preserve">Britain cannot make more land. Every hectare given over to solar panels running at a 10% capacity factor — badged to produce a fraction of what the nameplate promises — is a hectare not growing food on an island that already imports roughly 40% of what it eats. CPRE research shows 59% of England's largest solar farms sit on productive farmland, with nearly a third on the UK's best and most versatile agricultural land. That is not a technology trade-off. It is a straightforward planning error: covering the food supply in glass to generate power for one hour in ten, on an island that cannot afford to lose either the land or the food security.</w:t>
      </w:r>
    </w:p>
    <w:p>
      <w:pPr>
        <w:spacing w:after="200" w:line="300"/>
      </w:pPr>
      <w:r>
        <w:rPr>
          <w:sz w:val="22"/>
          <w:szCs w:val="22"/>
        </w:rPr>
        <w:t xml:space="preserve">And the weather driving that scarcity is not stable. The pattern of the last several years is not in dispute: less reliable rainfall, longer dry spells, ground baked hard enough to grow nothing, and wildfires breaking out in a country that built its entire agricultural model on the assumption that the rain would keep coming roughly on schedule. Britain had hosepipe bans in 2022. The response to drought in this country is still, in essence, to hope. CFF's strategic reserve unit exists because hoping is not a water strategy. Each site holds a dedicated desalination unit producing 50,000 m³/day, held apart from hydrogen production, district heating, and every other on-site duty so it is never already spoken for, sitting on standby until an operator activates it — for a burst main locally, a regional drought, or a national emergency. Across all 28 sites, that is 1.4 million m³/day of drought-proof fresh water, made from seawater, on demand, independent of rainfall. Britain has no comparable strategic freshwater reserve today. When the reservoirs run low, the only tool in the box is a hosepipe ban and a wait for rain that a changing climate makes less reliable every year.</w:t>
      </w:r>
    </w:p>
    <w:p>
      <w:pPr>
        <w:pStyle w:val="Heading2"/>
        <w:spacing w:after="160" w:before="300"/>
      </w:pPr>
      <w:bookmarkStart w:name="ch8d" w:id="1"/>
      <w:r>
        <w:rPr>
          <w:b/>
          <w:bCs/>
          <w:color w:val="1B2A4A"/>
        </w:rPr>
        <w:t xml:space="preserve">8d. The Same State, A Different Postcode</w:t>
      </w:r>
      <w:bookmarkEnd w:id="1"/>
    </w:p>
    <w:p>
      <w:pPr>
        <w:spacing w:after="200" w:line="300"/>
      </w:pPr>
      <w:r>
        <w:rPr>
          <w:sz w:val="22"/>
          <w:szCs w:val="22"/>
        </w:rPr>
        <w:t xml:space="preserve">In October 2008, the British state moved to save the banks in a matter of weeks. Direct cash injections into Royal Bank of Scotland, Lloyds TSB, and HBOS alone topped £137 billion, and the total guaranteed support package — loans, insurance, and recapitalisation combined — peaked at approximately £1.16 trillion, according to the National Audit Office. There was no consultation period, no phased trial, no ten-year review. The money was there because the alternative was judged unthinkable.</w:t>
      </w:r>
    </w:p>
    <w:p>
      <w:pPr>
        <w:spacing w:after="200" w:line="300"/>
      </w:pPr>
      <w:r>
        <w:rPr>
          <w:sz w:val="22"/>
          <w:szCs w:val="22"/>
        </w:rPr>
        <w:t xml:space="preserve">Compare that to what happened to coal, steel, and textiles — the industries that had employed the North, Wales, the Midlands, and Scotland for generations.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shd w:fill="1B2A4A" w:val="clear"/>
            <w:tcMar>
              <w:top w:type="dxa" w:w="80"/>
              <w:left w:type="dxa" w:w="100"/>
              <w:bottom w:type="dxa" w:w="80"/>
              <w:right w:type="dxa" w:w="100"/>
            </w:tcMar>
          </w:tcPr>
          <w:p>
            <w:r>
              <w:rPr>
                <w:b/>
                <w:bCs/>
                <w:color w:val="FFFFFF"/>
                <w:sz w:val="19"/>
                <w:szCs w:val="19"/>
              </w:rPr>
              <w:t xml:space="preserve">Industry</w:t>
            </w:r>
          </w:p>
        </w:tc>
        <w:tc>
          <w:tcPr>
            <w:tcW w:type="pct" w:w="25%"/>
            <w:shd w:fill="1B2A4A" w:val="clear"/>
            <w:tcMar>
              <w:top w:type="dxa" w:w="80"/>
              <w:left w:type="dxa" w:w="100"/>
              <w:bottom w:type="dxa" w:w="80"/>
              <w:right w:type="dxa" w:w="100"/>
            </w:tcMar>
          </w:tcPr>
          <w:p>
            <w:r>
              <w:rPr>
                <w:b/>
                <w:bCs/>
                <w:color w:val="FFFFFF"/>
                <w:sz w:val="19"/>
                <w:szCs w:val="19"/>
              </w:rPr>
              <w:t xml:space="preserve">Peak Employment</w:t>
            </w:r>
          </w:p>
        </w:tc>
        <w:tc>
          <w:tcPr>
            <w:tcW w:type="pct" w:w="25%"/>
            <w:shd w:fill="1B2A4A" w:val="clear"/>
            <w:tcMar>
              <w:top w:type="dxa" w:w="80"/>
              <w:left w:type="dxa" w:w="100"/>
              <w:bottom w:type="dxa" w:w="80"/>
              <w:right w:type="dxa" w:w="100"/>
            </w:tcMar>
          </w:tcPr>
          <w:p>
            <w:r>
              <w:rPr>
                <w:b/>
                <w:bCs/>
                <w:color w:val="FFFFFF"/>
                <w:sz w:val="19"/>
                <w:szCs w:val="19"/>
              </w:rPr>
              <w:t xml:space="preserve">Later Employment</w:t>
            </w:r>
          </w:p>
        </w:tc>
        <w:tc>
          <w:tcPr>
            <w:tcW w:type="pct" w:w="25%"/>
            <w:shd w:fill="1B2A4A" w:val="clear"/>
            <w:tcMar>
              <w:top w:type="dxa" w:w="80"/>
              <w:left w:type="dxa" w:w="100"/>
              <w:bottom w:type="dxa" w:w="80"/>
              <w:right w:type="dxa" w:w="100"/>
            </w:tcMar>
          </w:tcPr>
          <w:p>
            <w:r>
              <w:rPr>
                <w:b/>
                <w:bCs/>
                <w:color w:val="FFFFFF"/>
                <w:sz w:val="19"/>
                <w:szCs w:val="19"/>
              </w:rPr>
              <w:t xml:space="preserve">The Fall</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Coal</w:t>
            </w:r>
          </w:p>
        </w:tc>
        <w:tc>
          <w:tcPr>
            <w:tcW w:type="pct" w:w="25%"/>
            <w:tcMar>
              <w:top w:type="dxa" w:w="80"/>
              <w:left w:type="dxa" w:w="100"/>
              <w:bottom w:type="dxa" w:w="80"/>
              <w:right w:type="dxa" w:w="100"/>
            </w:tcMar>
          </w:tcPr>
          <w:p>
            <w:r>
              <w:rPr>
                <w:b w:val="false"/>
                <w:bCs w:val="false"/>
                <w:color w:val="000000"/>
                <w:sz w:val="19"/>
                <w:szCs w:val="19"/>
              </w:rPr>
              <w:t xml:space="preserve">~240,000 miners (1981)</w:t>
            </w:r>
          </w:p>
        </w:tc>
        <w:tc>
          <w:tcPr>
            <w:tcW w:type="pct" w:w="25%"/>
            <w:tcMar>
              <w:top w:type="dxa" w:w="80"/>
              <w:left w:type="dxa" w:w="100"/>
              <w:bottom w:type="dxa" w:w="80"/>
              <w:right w:type="dxa" w:w="100"/>
            </w:tcMar>
          </w:tcPr>
          <w:p>
            <w:r>
              <w:rPr>
                <w:b w:val="false"/>
                <w:bCs w:val="false"/>
                <w:color w:val="000000"/>
                <w:sz w:val="19"/>
                <w:szCs w:val="19"/>
              </w:rPr>
              <w:t xml:space="preserve">6,000 (2011)</w:t>
            </w:r>
          </w:p>
        </w:tc>
        <w:tc>
          <w:tcPr>
            <w:tcW w:type="pct" w:w="25%"/>
            <w:tcMar>
              <w:top w:type="dxa" w:w="80"/>
              <w:left w:type="dxa" w:w="100"/>
              <w:bottom w:type="dxa" w:w="80"/>
              <w:right w:type="dxa" w:w="100"/>
            </w:tcMar>
          </w:tcPr>
          <w:p>
            <w:r>
              <w:rPr>
                <w:b w:val="false"/>
                <w:bCs w:val="false"/>
                <w:color w:val="000000"/>
                <w:sz w:val="19"/>
                <w:szCs w:val="19"/>
              </w:rPr>
              <w:t xml:space="preserve">Over 200,000 jobs lost — almost 90% of the workforce — in barely a decade, concentrated in the pit villages of Yorkshire, Durham, Nottinghamshire, South Wales, and Scotland</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Steel</w:t>
            </w:r>
          </w:p>
        </w:tc>
        <w:tc>
          <w:tcPr>
            <w:tcW w:type="pct" w:w="25%"/>
            <w:tcMar>
              <w:top w:type="dxa" w:w="80"/>
              <w:left w:type="dxa" w:w="100"/>
              <w:bottom w:type="dxa" w:w="80"/>
              <w:right w:type="dxa" w:w="100"/>
            </w:tcMar>
          </w:tcPr>
          <w:p>
            <w:r>
              <w:rPr>
                <w:b w:val="false"/>
                <w:bCs w:val="false"/>
                <w:color w:val="000000"/>
                <w:sz w:val="19"/>
                <w:szCs w:val="19"/>
              </w:rPr>
              <w:t xml:space="preserve">323,000 (1971)</w:t>
            </w:r>
          </w:p>
        </w:tc>
        <w:tc>
          <w:tcPr>
            <w:tcW w:type="pct" w:w="25%"/>
            <w:tcMar>
              <w:top w:type="dxa" w:w="80"/>
              <w:left w:type="dxa" w:w="100"/>
              <w:bottom w:type="dxa" w:w="80"/>
              <w:right w:type="dxa" w:w="100"/>
            </w:tcMar>
          </w:tcPr>
          <w:p>
            <w:r>
              <w:rPr>
                <w:b w:val="false"/>
                <w:bCs w:val="false"/>
                <w:color w:val="000000"/>
                <w:sz w:val="19"/>
                <w:szCs w:val="19"/>
              </w:rPr>
              <w:t xml:space="preserve">37,000 (2008)</w:t>
            </w:r>
          </w:p>
        </w:tc>
        <w:tc>
          <w:tcPr>
            <w:tcW w:type="pct" w:w="25%"/>
            <w:tcMar>
              <w:top w:type="dxa" w:w="80"/>
              <w:left w:type="dxa" w:w="100"/>
              <w:bottom w:type="dxa" w:w="80"/>
              <w:right w:type="dxa" w:w="100"/>
            </w:tcMar>
          </w:tcPr>
          <w:p>
            <w:r>
              <w:rPr>
                <w:b w:val="false"/>
                <w:bCs w:val="false"/>
                <w:color w:val="000000"/>
                <w:sz w:val="19"/>
                <w:szCs w:val="19"/>
              </w:rPr>
              <w:t xml:space="preserve">British Steel Corporation closures across County Durham, Northampton, and Shotton; today's industry is a fraction of what it was</w:t>
            </w:r>
          </w:p>
        </w:tc>
      </w:tr>
      <w:tr>
        <w:trPr>
          <w:cantSplit/>
        </w:trPr>
        <w:tc>
          <w:tcPr>
            <w:tcW w:type="pct" w:w="25%"/>
            <w:tcMar>
              <w:top w:type="dxa" w:w="80"/>
              <w:left w:type="dxa" w:w="100"/>
              <w:bottom w:type="dxa" w:w="80"/>
              <w:right w:type="dxa" w:w="100"/>
            </w:tcMar>
          </w:tcPr>
          <w:p>
            <w:r>
              <w:rPr>
                <w:b w:val="false"/>
                <w:bCs w:val="false"/>
                <w:color w:val="000000"/>
                <w:sz w:val="19"/>
                <w:szCs w:val="19"/>
              </w:rPr>
              <w:t xml:space="preserve">Textiles &amp; Clothing</w:t>
            </w:r>
          </w:p>
        </w:tc>
        <w:tc>
          <w:tcPr>
            <w:tcW w:type="pct" w:w="25%"/>
            <w:tcMar>
              <w:top w:type="dxa" w:w="80"/>
              <w:left w:type="dxa" w:w="100"/>
              <w:bottom w:type="dxa" w:w="80"/>
              <w:right w:type="dxa" w:w="100"/>
            </w:tcMar>
          </w:tcPr>
          <w:p>
            <w:r>
              <w:rPr>
                <w:b w:val="false"/>
                <w:bCs w:val="false"/>
                <w:color w:val="000000"/>
                <w:sz w:val="19"/>
                <w:szCs w:val="19"/>
              </w:rPr>
              <w:t xml:space="preserve">600,000 (1981)</w:t>
            </w:r>
          </w:p>
        </w:tc>
        <w:tc>
          <w:tcPr>
            <w:tcW w:type="pct" w:w="25%"/>
            <w:tcMar>
              <w:top w:type="dxa" w:w="80"/>
              <w:left w:type="dxa" w:w="100"/>
              <w:bottom w:type="dxa" w:w="80"/>
              <w:right w:type="dxa" w:w="100"/>
            </w:tcMar>
          </w:tcPr>
          <w:p>
            <w:r>
              <w:rPr>
                <w:b w:val="false"/>
                <w:bCs w:val="false"/>
                <w:color w:val="000000"/>
                <w:sz w:val="19"/>
                <w:szCs w:val="19"/>
              </w:rPr>
              <w:t xml:space="preserve">300,000 (1999)</w:t>
            </w:r>
          </w:p>
        </w:tc>
        <w:tc>
          <w:tcPr>
            <w:tcW w:type="pct" w:w="25%"/>
            <w:tcMar>
              <w:top w:type="dxa" w:w="80"/>
              <w:left w:type="dxa" w:w="100"/>
              <w:bottom w:type="dxa" w:w="80"/>
              <w:right w:type="dxa" w:w="100"/>
            </w:tcMar>
          </w:tcPr>
          <w:p>
            <w:r>
              <w:rPr>
                <w:b w:val="false"/>
                <w:bCs w:val="false"/>
                <w:color w:val="000000"/>
                <w:sz w:val="19"/>
                <w:szCs w:val="19"/>
              </w:rPr>
              <w:t xml:space="preserve">36,000 lost in the single year September 1998 to September 1999 alone (Hansard, 14 March 2000) — around 650 jobs a week, largely in packets of 50 or 100 at a time, never making a national headline</w:t>
            </w:r>
          </w:p>
        </w:tc>
      </w:tr>
    </w:tbl>
    <w:p>
      <w:pPr>
        <w:spacing w:after="200"/>
      </w:pPr>
    </w:p>
    <w:p>
      <w:pPr>
        <w:spacing w:after="200" w:line="300"/>
      </w:pPr>
      <w:r>
        <w:rPr>
          <w:sz w:val="22"/>
          <w:szCs w:val="22"/>
        </w:rPr>
        <w:t xml:space="preserve">Hansard records that debate naming Courtaulds directly — a firm that closed a factory mainly supplying Marks &amp; Spencer, citing “overseas competition,” while shifting its own production offshore at the same time M&amp;S was rewriting its own sourcing rules to buy the vast majority of its clothing from abroad. The same pattern played out across the whole sector: British firms undercut by imports that British retailers themselves were sourcing, with British workers left to absorb the difference.</w:t>
      </w:r>
    </w:p>
    <w:p>
      <w:pPr>
        <w:spacing w:after="200" w:line="300"/>
      </w:pPr>
      <w:r>
        <w:rPr>
          <w:sz w:val="22"/>
          <w:szCs w:val="22"/>
        </w:rPr>
        <w:t xml:space="preserve">No emergency package. No weeks-long rescue. No unlimited guarantee. Just 650 job losses a week, one factory at a time, spread thinly enough across the country that it never became a single headline the way a bank collapse did.</w:t>
      </w:r>
    </w:p>
    <w:p>
      <w:pPr>
        <w:spacing w:after="100" w:before="200"/>
      </w:pPr>
      <w:r>
        <w:rPr>
          <w:b/>
          <w:bCs/>
          <w:i/>
          <w:iCs/>
          <w:color w:val="1B2A4A"/>
          <w:sz w:val="22"/>
          <w:szCs w:val="22"/>
        </w:rPr>
        <w:t xml:space="preserve">The Chain Reaction Nobody in Westminster Had to Live Through</w:t>
      </w:r>
    </w:p>
    <w:p>
      <w:pPr>
        <w:spacing w:after="200" w:line="300"/>
      </w:pPr>
      <w:r>
        <w:rPr>
          <w:sz w:val="22"/>
          <w:szCs w:val="22"/>
        </w:rPr>
        <w:t xml:space="preserve">A pit closure or a factory closure was never just one number on a Whitehall spreadsheet. It was the first domino in a chain that took a generation to finish falling. No work meant no wages. No wages meant no money spent in the shops on the high street. No custom meant the butcher, the bakers, the hardware shop, and the family-run outfitters closed one after another, because there was nothing left in the town to spend money on them with. Empty shopfronts meant no reason for anyone to stay, so the young left first — for Leeds, for Birmingham, for London, for anywhere that still had a wage packet at the end of the week — leaving behind an ageing population, a hollowed-out high street, and a town that had done nothing wrong except depend on the one industry that Westminster had decided it could live without.</w:t>
      </w:r>
    </w:p>
    <w:p>
      <w:pPr>
        <w:spacing w:after="200" w:line="300"/>
      </w:pPr>
      <w:r>
        <w:rPr>
          <w:sz w:val="22"/>
          <w:szCs w:val="22"/>
        </w:rPr>
        <w:t xml:space="preserve">That is the part of the story that never made it into a Treasury briefing: the job loss was the beginning, not the end. Every colliery, every steelworks, every clothing factory that closed took the shops, the pubs, the football club, and eventually the town's own next generation down with it. Nobody in Whitehall had to watch it happen to their own street. The people who did watch it happen were the ones in Sunderland, in the Rhondda, in Rotherham, in Ravenscraig — and they are still watching it, because nothing was ever built to replace what was taken away.</w:t>
      </w:r>
    </w:p>
    <w:p>
      <w:pPr>
        <w:spacing w:after="100" w:before="200"/>
      </w:pPr>
      <w:r>
        <w:rPr>
          <w:b/>
          <w:bCs/>
          <w:i/>
          <w:iCs/>
          <w:color w:val="1B2A4A"/>
          <w:sz w:val="22"/>
          <w:szCs w:val="22"/>
        </w:rPr>
        <w:t xml:space="preserve">What If the South Had Been Let Down the Way the North Was?</w:t>
      </w:r>
    </w:p>
    <w:p>
      <w:pPr>
        <w:spacing w:after="200" w:line="300"/>
      </w:pPr>
      <w:r>
        <w:rPr>
          <w:sz w:val="22"/>
          <w:szCs w:val="22"/>
        </w:rPr>
        <w:t xml:space="preserve">Turn the comparison around and ask the question nobody in Westminster has ever had to answer honestly: what would Britain look like today if the state had let the banks fail the same way it let the coalfields, the steel towns, and the mill towns fail? If the City of London had been told in October 2008 that the market had spoken, that restructuring was a painful but necessary correction, and that displaced bankers should retrain and relocate — the same script read out to 200,000 miners and hundreds of thousands of steel and textile workers a generation before? How many of the people who ran RBS, Lloyds, and HBOS into the ground would now be answering phones in a call centre in Birmingham, on a fraction of their old salary, watching their own high street empty out around them, while a think tank two decades later wrote a report about the resilience of the financial sector and the character of communities that “adapt”?</w:t>
      </w:r>
    </w:p>
    <w:p>
      <w:pPr>
        <w:spacing w:after="200" w:line="300"/>
      </w:pPr>
      <w:r>
        <w:rPr>
          <w:sz w:val="22"/>
          <w:szCs w:val="22"/>
        </w:rPr>
        <w:t xml:space="preserve">That question is not really about bankers. It is about whether Britain is a country that only moves fast and spends big to save the jobs of people who already have money — and lets everyone else absorb the cost of “the market deciding.” The 2008 bailout proved the state can act decisively when it chooses to. CFF is the case for choosing to act that way for the North, Wales, the Midlands, and Scotland this time — before another generation of towns finishes the same slow death the last one lived through.</w:t>
      </w:r>
    </w:p>
    <w:p>
      <w:pPr>
        <w:pBdr>
          <w:left w:val="single" w:color="9C7A2E" w:sz="18" w:space="12"/>
        </w:pBdr>
        <w:spacing w:after="200" w:before="160"/>
        <w:ind w:left="500" w:right="500"/>
      </w:pPr>
      <w:r>
        <w:rPr>
          <w:i/>
          <w:iCs/>
          <w:color w:val="333333"/>
          <w:sz w:val="22"/>
          <w:szCs w:val="22"/>
        </w:rPr>
        <w:t xml:space="preserve">“I was head engineer at Bairdwear. I watched the order books shrink season by season, watched contracts that had kept factory floors full for years disappear to the other side of the world almost overnight, and watched machines that should have been running a full week sit idle because there was simply no work to put through them. M&amp;S was one of the biggest names behind that shift — a company that had built its reputation on British-made goods, quietly rewriting its own rulebook until the vast majority of what it sold no longer came from British hands at all. Nobody made an announcement. There was no single day it happened. It was a slow bleed, one cancelled order at a time, until the maths simply stopped working and the factory gates closed for good. My brother stayed in the trade the only way he could — he left. He went to the Philippines, because that is where the work had gone, and Britain no longer had a place for the skills he’d spent his working life building. I have never stopped thinking about that. A country that could find billions overnight for a bank in London could not find a fraction of that to keep a textile mill running in the North, or to retrain the people it put out of a job with any real urgency. That is not a complaint from forty years ago. It is the same choice Britain is being asked to make again right now, with energy — and I am not willing to watch it play out the same way twice.” — DJ Waugh</w:t>
      </w:r>
    </w:p>
    <w:p>
      <w:pPr>
        <w:spacing w:after="200" w:line="300"/>
      </w:pPr>
      <w:r>
        <w:rPr>
          <w:sz w:val="22"/>
          <w:szCs w:val="22"/>
        </w:rPr>
        <w:t xml:space="preserve">The point is not that the banks should have been left to fail. It is that the state proved, beyond argument, that it can move fast and spend big when it decides something is worth saving. Coal, steel, and textiles were never given that judgement. The workers were told the market had spoken and there was nothing to be done. The 2008 crisis proved that was never true — it was a choice about whose jobs were worth an emergency response, and whose were not.</w:t>
      </w:r>
    </w:p>
    <w:p>
      <w:pPr>
        <w:spacing w:after="200" w:line="300"/>
      </w:pPr>
      <w:r>
        <w:rPr>
          <w:sz w:val="22"/>
          <w:szCs w:val="22"/>
        </w:rPr>
        <w:t xml:space="preserve">CFF asks for the same treatment the banks got, for the same reasons the banks got it: because the alternative — permanent import dependency, hollowed-out industrial regions, and a generation of skilled workers with nowhere to go — is a cost Britain is still paying today, decades later, in exactly the communities that were told to accept it the first time.</w:t>
      </w:r>
    </w:p>
    <w:p>
      <w:r>
        <w:br w:type="page"/>
      </w:r>
    </w:p>
    <w:p>
      <w:pPr>
        <w:pStyle w:val="Heading1"/>
      </w:pPr>
      <w:bookmarkStart w:name="ch9" w:id="1"/>
      <w:r>
        <w:rPr>
          <w:color w:val="9C7A2E"/>
          <w:sz w:val="22"/>
          <w:szCs w:val="22"/>
        </w:rPr>
        <w:t xml:space="preserve">Chapter 9 — Engineering &amp; Operations</w:t>
      </w:r>
      <w:bookmarkEnd w:id="1"/>
    </w:p>
    <w:p>
      <w:pPr>
        <w:spacing w:after="240" w:before="60"/>
      </w:pPr>
      <w:r>
        <w:rPr>
          <w:b/>
          <w:bCs/>
          <w:color w:val="1B2A4A"/>
          <w:sz w:val="40"/>
          <w:szCs w:val="40"/>
        </w:rPr>
        <w:t xml:space="preserve">Engineering &amp; Operations</w:t>
      </w:r>
    </w:p>
    <w:p>
      <w:pPr>
        <w:spacing w:after="300" w:line="300"/>
      </w:pPr>
      <w:r>
        <w:rPr>
          <w:i/>
          <w:iCs/>
          <w:color w:val="333333"/>
          <w:sz w:val="22"/>
          <w:szCs w:val="22"/>
        </w:rPr>
        <w:t xml:space="preserve">This chapter moves from the argument to the physical detail: the dimensioned engineering behind every major component, and worked examples of how a CFF operator actually runs the fleet day to day.</w:t>
      </w:r>
    </w:p>
    <w:p>
      <w:pPr>
        <w:pStyle w:val="Heading2"/>
        <w:spacing w:after="160" w:before="300"/>
      </w:pPr>
      <w:bookmarkStart w:name="ch9a" w:id="1"/>
      <w:r>
        <w:rPr>
          <w:b/>
          <w:bCs/>
          <w:color w:val="1B2A4A"/>
        </w:rPr>
        <w:t xml:space="preserve">9a. Engineering Drawings</w:t>
      </w:r>
      <w:bookmarkEnd w:id="1"/>
    </w:p>
    <w:p>
      <w:pPr>
        <w:spacing w:after="200" w:line="300"/>
      </w:pPr>
      <w:r>
        <w:rPr>
          <w:sz w:val="22"/>
          <w:szCs w:val="22"/>
        </w:rPr>
        <w:t xml:space="preserve">Eight dimensioned technical diagrams describe the physical scale of every major CFF component, from a single HTGR reactor vessel to the full 55-hectare coastal site. All figures below are as published in the CFF drawing set (CFF-DWG-001 through 008).</w:t>
      </w:r>
    </w:p>
    <w:p>
      <w:pPr>
        <w:pStyle w:val="ListParagraph"/>
        <w:numPr>
          <w:ilvl w:val="0"/>
          <w:numId w:val="1"/>
        </w:numPr>
        <w:spacing w:after="120" w:line="280"/>
      </w:pPr>
      <w:r>
        <w:rPr>
          <w:sz w:val="22"/>
          <w:szCs w:val="22"/>
        </w:rPr>
        <w:t xml:space="preserve">CFF-DWG-001 — HTGR Reactor Module: a 5m diameter × 16.4m tall pressure vessel sitting roughly 10m below grade in a reinforced concrete silo. The pebble-bed core contains ~400,000 TRISO fuel spheres. Road-transportable, no heavy-lift crane required.</w:t>
      </w:r>
    </w:p>
    <w:p>
      <w:pPr>
        <w:pStyle w:val="ListParagraph"/>
        <w:numPr>
          <w:ilvl w:val="0"/>
          <w:numId w:val="1"/>
        </w:numPr>
        <w:spacing w:after="120" w:line="280"/>
      </w:pPr>
      <w:r>
        <w:rPr>
          <w:sz w:val="22"/>
          <w:szCs w:val="22"/>
        </w:rPr>
        <w:t xml:space="preserve">CFF-DWG-002 — Six-Pack Reactor Cluster: six reactor modules in a 2×3 grid within a ~60m × 50m footprint, sharing one turbine hall producing 480 MWe. Eight of these clusters form one complete site.</w:t>
      </w:r>
    </w:p>
    <w:p>
      <w:pPr>
        <w:pStyle w:val="ListParagraph"/>
        <w:numPr>
          <w:ilvl w:val="0"/>
          <w:numId w:val="1"/>
        </w:numPr>
        <w:spacing w:after="120" w:line="280"/>
      </w:pPr>
      <w:r>
        <w:rPr>
          <w:sz w:val="22"/>
          <w:szCs w:val="22"/>
        </w:rPr>
        <w:t xml:space="preserve">CFF-DWG-003 — HTSE Electrolysis Scale Progression: from a shoebox-sized cell stack through a 1.5MW hot-box to a 9MW shipping-container module, up to a 25MW production block. CFF deploys ~500 MWe of HTSE per site across multiple blocks.</w:t>
      </w:r>
    </w:p>
    <w:p>
      <w:pPr>
        <w:pStyle w:val="ListParagraph"/>
        <w:numPr>
          <w:ilvl w:val="0"/>
          <w:numId w:val="1"/>
        </w:numPr>
        <w:spacing w:after="120" w:line="280"/>
      </w:pPr>
      <w:r>
        <w:rPr>
          <w:sz w:val="22"/>
          <w:szCs w:val="22"/>
        </w:rPr>
        <w:t xml:space="preserve">CFF-DWG-004 — Desalination Plant: a hybrid reverse-osmosis and thermal multi-effect distillation plant occupying a reduced footprint of approximately 1.2 hectares for the standard 4-unit configuration — one hydrogen-feedwater unit, one strategic drought reserve, and two flexible units for site-specific industrial or food-production use — with product water storage and brine output to the zero-liquid-discharge plant.</w:t>
      </w:r>
    </w:p>
    <w:p>
      <w:pPr>
        <w:pStyle w:val="ListParagraph"/>
        <w:numPr>
          <w:ilvl w:val="0"/>
          <w:numId w:val="1"/>
        </w:numPr>
        <w:spacing w:after="120" w:line="280"/>
      </w:pPr>
      <w:r>
        <w:rPr>
          <w:sz w:val="22"/>
          <w:szCs w:val="22"/>
        </w:rPr>
        <w:t xml:space="preserve">CFF-DWG-005 — Air Separation Unit: an ~80m × 60m cryogenic plant producing ~2,000 tonnes O₂/day, with a cold box operating at −185°C feeding the HTSE sweep-gas circuit and the Haber-Bosch ammonia loop.</w:t>
      </w:r>
    </w:p>
    <w:p>
      <w:pPr>
        <w:pStyle w:val="ListParagraph"/>
        <w:numPr>
          <w:ilvl w:val="0"/>
          <w:numId w:val="1"/>
        </w:numPr>
        <w:spacing w:after="120" w:line="280"/>
      </w:pPr>
      <w:r>
        <w:rPr>
          <w:sz w:val="22"/>
          <w:szCs w:val="22"/>
        </w:rPr>
        <w:t xml:space="preserve">CFF-DWG-006 — H₂ Compression &amp; Buffer Storage: three-stage compression to 500 bar feeding 19 Type IV composite pressure vessels, a total buffer of ~5,700 kg H₂ within a safety exclusion zone built to NFPA 2 / ATEX standards.</w:t>
      </w:r>
    </w:p>
    <w:p>
      <w:pPr>
        <w:pStyle w:val="ListParagraph"/>
        <w:numPr>
          <w:ilvl w:val="0"/>
          <w:numId w:val="1"/>
        </w:numPr>
        <w:spacing w:after="120" w:line="280"/>
      </w:pPr>
      <w:r>
        <w:rPr>
          <w:sz w:val="22"/>
          <w:szCs w:val="22"/>
        </w:rPr>
        <w:t xml:space="preserve">CFF-DWG-007 — Brine Processing Plant: a compact zero-liquid-discharge facility converting desalination concentrate into saleable minerals — industrial salt, magnesium chloride, gypsum, and potash — recovering 85–90% of the brine volume as freshwater with zero marine outfall.</w:t>
      </w:r>
    </w:p>
    <w:p>
      <w:pPr>
        <w:pStyle w:val="ListParagraph"/>
        <w:numPr>
          <w:ilvl w:val="0"/>
          <w:numId w:val="1"/>
        </w:numPr>
        <w:spacing w:after="120" w:line="280"/>
      </w:pPr>
      <w:r>
        <w:rPr>
          <w:sz w:val="22"/>
          <w:szCs w:val="22"/>
        </w:rPr>
        <w:t xml:space="preserve">CFF-DWG-008 — Full 55-Hectare Site Layout: eight six-pack reactor clusters in a 4×2 grid with 120m earth berms, plus the HTSE complex, hydrogen storage, desalination, brine processing, air separation, ammonia synthesis, district heating pump station, and 400kV switchyard.</w:t>
      </w:r>
    </w:p>
    <w:p>
      <w:pPr>
        <w:pStyle w:val="Heading2"/>
        <w:spacing w:after="160" w:before="300"/>
      </w:pPr>
      <w:bookmarkStart w:name="ch9b" w:id="1"/>
      <w:r>
        <w:rPr>
          <w:b/>
          <w:bCs/>
          <w:color w:val="1B2A4A"/>
        </w:rPr>
        <w:t xml:space="preserve">9b. Fleet Control in Practice</w:t>
      </w:r>
      <w:bookmarkEnd w:id="1"/>
    </w:p>
    <w:p>
      <w:pPr>
        <w:spacing w:after="200" w:line="300"/>
      </w:pPr>
      <w:r>
        <w:rPr>
          <w:sz w:val="22"/>
          <w:szCs w:val="22"/>
        </w:rPr>
        <w:t xml:space="preserve">Three worked examples show how a CFF operator manages the national fleet in real time.</w:t>
      </w:r>
    </w:p>
    <w:p>
      <w:pPr>
        <w:spacing w:after="100" w:before="200"/>
      </w:pPr>
      <w:r>
        <w:rPr>
          <w:b/>
          <w:bCs/>
          <w:i/>
          <w:iCs/>
          <w:color w:val="1B2A4A"/>
          <w:sz w:val="22"/>
          <w:szCs w:val="22"/>
        </w:rPr>
        <w:t xml:space="preserve">Safe-Flex Grid Operator</w:t>
      </w:r>
    </w:p>
    <w:p>
      <w:pPr>
        <w:spacing w:after="200" w:line="300"/>
      </w:pPr>
      <w:r>
        <w:rPr>
          <w:sz w:val="22"/>
          <w:szCs w:val="22"/>
        </w:rPr>
        <w:t xml:space="preserve">The operator watches the national grid in real time. When renewables dip, they can surgically ramp down hydrogen production at individual sites, freeing firm nuclear power for the grid — anything from a 5% nudge at one site to a full 50% fleet-wide response during a Dunkelflaute. With 28 independent sites, each offering a 50-percentage-point range, the operator has 1,400 discrete percentage points of flexibility, deployable in any combination, with zero emissions and zero fuel cost. No other grid backup system on Earth offers that.</w:t>
      </w:r>
    </w:p>
    <w:p>
      <w:pPr>
        <w:spacing w:after="100" w:before="200"/>
      </w:pPr>
      <w:r>
        <w:rPr>
          <w:b/>
          <w:bCs/>
          <w:i/>
          <w:iCs/>
          <w:color w:val="1B2A4A"/>
          <w:sz w:val="22"/>
          <w:szCs w:val="22"/>
        </w:rPr>
        <w:t xml:space="preserve">The Strategic Water Reserve Console</w:t>
      </w:r>
    </w:p>
    <w:p>
      <w:pPr>
        <w:spacing w:after="200" w:line="300"/>
      </w:pPr>
      <w:r>
        <w:rPr>
          <w:sz w:val="22"/>
          <w:szCs w:val="22"/>
        </w:rPr>
        <w:t xml:space="preserve">Every CFF mega-site includes a standalone strategic reserve unit producing 50,000 m³/day of fresh water, held apart from hydrogen production, district heating, and every other on-site duty. This unit sits on standby, drawing no energy and producing no water, until the operator activates it for drought relief, irrigation emergencies, or burst mains — with drinking water output passing through automatic remineralisation before entering the supply network. Because it is never committed to routine daily use elsewhere on-site, it remains a genuine reserve rather than capacity already spoken for.</w:t>
      </w:r>
    </w:p>
    <w:p>
      <w:pPr>
        <w:spacing w:after="100" w:before="200"/>
      </w:pPr>
      <w:r>
        <w:rPr>
          <w:b/>
          <w:bCs/>
          <w:i/>
          <w:iCs/>
          <w:color w:val="1B2A4A"/>
          <w:sz w:val="22"/>
          <w:szCs w:val="22"/>
        </w:rPr>
        <w:t xml:space="preserve">Heat Halo — District Heating</w:t>
      </w:r>
    </w:p>
    <w:p>
      <w:pPr>
        <w:spacing w:after="200" w:line="300"/>
      </w:pPr>
      <w:r>
        <w:rPr>
          <w:sz w:val="22"/>
          <w:szCs w:val="22"/>
        </w:rPr>
        <w:t xml:space="preserve">Hot water leaves the site at 95°C through insulated trunk mains. Every connected home receives heating at a comfortable 21°C indoor temperature for a flat £500 a year, through a heat interface unit no larger than a small boiler, with a 200-plus year lifespan and zero gas use — up to 280,000 homes per site.</w:t>
      </w:r>
    </w:p>
    <w:p>
      <w:pPr>
        <w:pStyle w:val="Heading2"/>
        <w:spacing w:after="160" w:before="300"/>
      </w:pPr>
      <w:bookmarkStart w:name="ch9c" w:id="1"/>
      <w:r>
        <w:rPr>
          <w:b/>
          <w:bCs/>
          <w:color w:val="1B2A4A"/>
        </w:rPr>
        <w:t xml:space="preserve">9c. The National Dashboard</w:t>
      </w:r>
      <w:bookmarkEnd w:id="1"/>
    </w:p>
    <w:p>
      <w:pPr>
        <w:spacing w:after="200" w:line="300"/>
      </w:pPr>
      <w:r>
        <w:rPr>
          <w:sz w:val="22"/>
          <w:szCs w:val="22"/>
        </w:rPr>
        <w:t xml:space="preserve">28 coastal mega-sites across 11 UK regions, delivering firm power, green hydrogen, desalinated water, and district heating across the whole of Britain.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
            <w:shd w:fill="1B2A4A" w:val="clear"/>
            <w:tcMar>
              <w:top w:type="dxa" w:w="80"/>
              <w:left w:type="dxa" w:w="100"/>
              <w:bottom w:type="dxa" w:w="80"/>
              <w:right w:type="dxa" w:w="100"/>
            </w:tcMar>
          </w:tcPr>
          <w:p>
            <w:r>
              <w:rPr>
                <w:b/>
                <w:bCs/>
                <w:color w:val="FFFFFF"/>
                <w:sz w:val="19"/>
                <w:szCs w:val="19"/>
              </w:rPr>
              <w:t xml:space="preserve">Region</w:t>
            </w:r>
          </w:p>
        </w:tc>
        <w:tc>
          <w:tcPr>
            <w:tcW w:type="pct" w:w="16%"/>
            <w:shd w:fill="1B2A4A" w:val="clear"/>
            <w:tcMar>
              <w:top w:type="dxa" w:w="80"/>
              <w:left w:type="dxa" w:w="100"/>
              <w:bottom w:type="dxa" w:w="80"/>
              <w:right w:type="dxa" w:w="100"/>
            </w:tcMar>
          </w:tcPr>
          <w:p>
            <w:r>
              <w:rPr>
                <w:b/>
                <w:bCs/>
                <w:color w:val="FFFFFF"/>
                <w:sz w:val="19"/>
                <w:szCs w:val="19"/>
              </w:rPr>
              <w:t xml:space="preserve">Sites</w:t>
            </w:r>
          </w:p>
        </w:tc>
        <w:tc>
          <w:tcPr>
            <w:tcW w:type="pct" w:w="16%"/>
            <w:shd w:fill="1B2A4A" w:val="clear"/>
            <w:tcMar>
              <w:top w:type="dxa" w:w="80"/>
              <w:left w:type="dxa" w:w="100"/>
              <w:bottom w:type="dxa" w:w="80"/>
              <w:right w:type="dxa" w:w="100"/>
            </w:tcMar>
          </w:tcPr>
          <w:p>
            <w:r>
              <w:rPr>
                <w:b/>
                <w:bCs/>
                <w:color w:val="FFFFFF"/>
                <w:sz w:val="19"/>
                <w:szCs w:val="19"/>
              </w:rPr>
              <w:t xml:space="preserve">GW</w:t>
            </w:r>
          </w:p>
        </w:tc>
        <w:tc>
          <w:tcPr>
            <w:tcW w:type="pct" w:w="16%"/>
            <w:shd w:fill="1B2A4A" w:val="clear"/>
            <w:tcMar>
              <w:top w:type="dxa" w:w="80"/>
              <w:left w:type="dxa" w:w="100"/>
              <w:bottom w:type="dxa" w:w="80"/>
              <w:right w:type="dxa" w:w="100"/>
            </w:tcMar>
          </w:tcPr>
          <w:p>
            <w:r>
              <w:rPr>
                <w:b/>
                <w:bCs/>
                <w:color w:val="FFFFFF"/>
                <w:sz w:val="19"/>
                <w:szCs w:val="19"/>
              </w:rPr>
              <w:t xml:space="preserve">Jobs</w:t>
            </w:r>
          </w:p>
        </w:tc>
        <w:tc>
          <w:tcPr>
            <w:tcW w:type="pct" w:w="16%"/>
            <w:shd w:fill="1B2A4A" w:val="clear"/>
            <w:tcMar>
              <w:top w:type="dxa" w:w="80"/>
              <w:left w:type="dxa" w:w="100"/>
              <w:bottom w:type="dxa" w:w="80"/>
              <w:right w:type="dxa" w:w="100"/>
            </w:tcMar>
          </w:tcPr>
          <w:p>
            <w:r>
              <w:rPr>
                <w:b/>
                <w:bCs/>
                <w:color w:val="FFFFFF"/>
                <w:sz w:val="19"/>
                <w:szCs w:val="19"/>
              </w:rPr>
              <w:t xml:space="preserve">Heat Halo Homes</w:t>
            </w:r>
          </w:p>
        </w:tc>
        <w:tc>
          <w:tcPr>
            <w:tcW w:type="pct" w:w="16%"/>
            <w:shd w:fill="1B2A4A" w:val="clear"/>
            <w:tcMar>
              <w:top w:type="dxa" w:w="80"/>
              <w:left w:type="dxa" w:w="100"/>
              <w:bottom w:type="dxa" w:w="80"/>
              <w:right w:type="dxa" w:w="100"/>
            </w:tcMar>
          </w:tcPr>
          <w:p>
            <w:r>
              <w:rPr>
                <w:b/>
                <w:bCs/>
                <w:color w:val="FFFFFF"/>
                <w:sz w:val="19"/>
                <w:szCs w:val="19"/>
              </w:rPr>
              <w:t xml:space="preserve">H₂ t/day</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Scotland</w:t>
            </w:r>
          </w:p>
        </w:tc>
        <w:tc>
          <w:tcPr>
            <w:tcW w:type="pct" w:w="16%"/>
            <w:tcMar>
              <w:top w:type="dxa" w:w="80"/>
              <w:left w:type="dxa" w:w="100"/>
              <w:bottom w:type="dxa" w:w="80"/>
              <w:right w:type="dxa" w:w="100"/>
            </w:tcMar>
          </w:tcPr>
          <w:p>
            <w:r>
              <w:rPr>
                <w:b w:val="false"/>
                <w:bCs w:val="false"/>
                <w:color w:val="000000"/>
                <w:sz w:val="19"/>
                <w:szCs w:val="19"/>
              </w:rPr>
              <w:t xml:space="preserve">4</w:t>
            </w:r>
          </w:p>
        </w:tc>
        <w:tc>
          <w:tcPr>
            <w:tcW w:type="pct" w:w="16%"/>
            <w:tcMar>
              <w:top w:type="dxa" w:w="80"/>
              <w:left w:type="dxa" w:w="100"/>
              <w:bottom w:type="dxa" w:w="80"/>
              <w:right w:type="dxa" w:w="100"/>
            </w:tcMar>
          </w:tcPr>
          <w:p>
            <w:r>
              <w:rPr>
                <w:b w:val="false"/>
                <w:bCs w:val="false"/>
                <w:color w:val="000000"/>
                <w:sz w:val="19"/>
                <w:szCs w:val="19"/>
              </w:rPr>
              <w:t xml:space="preserve">14.48</w:t>
            </w:r>
          </w:p>
        </w:tc>
        <w:tc>
          <w:tcPr>
            <w:tcW w:type="pct" w:w="16%"/>
            <w:tcMar>
              <w:top w:type="dxa" w:w="80"/>
              <w:left w:type="dxa" w:w="100"/>
              <w:bottom w:type="dxa" w:w="80"/>
              <w:right w:type="dxa" w:w="100"/>
            </w:tcMar>
          </w:tcPr>
          <w:p>
            <w:r>
              <w:rPr>
                <w:b w:val="false"/>
                <w:bCs w:val="false"/>
                <w:color w:val="000000"/>
                <w:sz w:val="19"/>
                <w:szCs w:val="19"/>
              </w:rPr>
              <w:t xml:space="preserve">72,000</w:t>
            </w:r>
          </w:p>
        </w:tc>
        <w:tc>
          <w:tcPr>
            <w:tcW w:type="pct" w:w="16%"/>
            <w:tcMar>
              <w:top w:type="dxa" w:w="80"/>
              <w:left w:type="dxa" w:w="100"/>
              <w:bottom w:type="dxa" w:w="80"/>
              <w:right w:type="dxa" w:w="100"/>
            </w:tcMar>
          </w:tcPr>
          <w:p>
            <w:r>
              <w:rPr>
                <w:b w:val="false"/>
                <w:bCs w:val="false"/>
                <w:color w:val="000000"/>
                <w:sz w:val="19"/>
                <w:szCs w:val="19"/>
              </w:rPr>
              <w:t xml:space="preserve">1,120,000</w:t>
            </w:r>
          </w:p>
        </w:tc>
        <w:tc>
          <w:tcPr>
            <w:tcW w:type="pct" w:w="16%"/>
            <w:tcMar>
              <w:top w:type="dxa" w:w="80"/>
              <w:left w:type="dxa" w:w="100"/>
              <w:bottom w:type="dxa" w:w="80"/>
              <w:right w:type="dxa" w:w="100"/>
            </w:tcMar>
          </w:tcPr>
          <w:p>
            <w:r>
              <w:rPr>
                <w:b w:val="false"/>
                <w:bCs w:val="false"/>
                <w:color w:val="000000"/>
                <w:sz w:val="19"/>
                <w:szCs w:val="19"/>
              </w:rPr>
              <w:t xml:space="preserve">8,288</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North East England</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Yorkshire &amp; Humber</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North West England</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Wales</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South West England</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London &amp; South East</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East Anglia</w:t>
            </w:r>
          </w:p>
        </w:tc>
        <w:tc>
          <w:tcPr>
            <w:tcW w:type="pct" w:w="16%"/>
            <w:tcMar>
              <w:top w:type="dxa" w:w="80"/>
              <w:left w:type="dxa" w:w="100"/>
              <w:bottom w:type="dxa" w:w="80"/>
              <w:right w:type="dxa" w:w="100"/>
            </w:tcMar>
          </w:tcPr>
          <w:p>
            <w:r>
              <w:rPr>
                <w:b w:val="false"/>
                <w:bCs w:val="false"/>
                <w:color w:val="000000"/>
                <w:sz w:val="19"/>
                <w:szCs w:val="19"/>
              </w:rPr>
              <w:t xml:space="preserve">3</w:t>
            </w:r>
          </w:p>
        </w:tc>
        <w:tc>
          <w:tcPr>
            <w:tcW w:type="pct" w:w="16%"/>
            <w:tcMar>
              <w:top w:type="dxa" w:w="80"/>
              <w:left w:type="dxa" w:w="100"/>
              <w:bottom w:type="dxa" w:w="80"/>
              <w:right w:type="dxa" w:w="100"/>
            </w:tcMar>
          </w:tcPr>
          <w:p>
            <w:r>
              <w:rPr>
                <w:b w:val="false"/>
                <w:bCs w:val="false"/>
                <w:color w:val="000000"/>
                <w:sz w:val="19"/>
                <w:szCs w:val="19"/>
              </w:rPr>
              <w:t xml:space="preserve">10.86</w:t>
            </w:r>
          </w:p>
        </w:tc>
        <w:tc>
          <w:tcPr>
            <w:tcW w:type="pct" w:w="16%"/>
            <w:tcMar>
              <w:top w:type="dxa" w:w="80"/>
              <w:left w:type="dxa" w:w="100"/>
              <w:bottom w:type="dxa" w:w="80"/>
              <w:right w:type="dxa" w:w="100"/>
            </w:tcMar>
          </w:tcPr>
          <w:p>
            <w:r>
              <w:rPr>
                <w:b w:val="false"/>
                <w:bCs w:val="false"/>
                <w:color w:val="000000"/>
                <w:sz w:val="19"/>
                <w:szCs w:val="19"/>
              </w:rPr>
              <w:t xml:space="preserve">54,000</w:t>
            </w:r>
          </w:p>
        </w:tc>
        <w:tc>
          <w:tcPr>
            <w:tcW w:type="pct" w:w="16%"/>
            <w:tcMar>
              <w:top w:type="dxa" w:w="80"/>
              <w:left w:type="dxa" w:w="100"/>
              <w:bottom w:type="dxa" w:w="80"/>
              <w:right w:type="dxa" w:w="100"/>
            </w:tcMar>
          </w:tcPr>
          <w:p>
            <w:r>
              <w:rPr>
                <w:b w:val="false"/>
                <w:bCs w:val="false"/>
                <w:color w:val="000000"/>
                <w:sz w:val="19"/>
                <w:szCs w:val="19"/>
              </w:rPr>
              <w:t xml:space="preserve">840,000</w:t>
            </w:r>
          </w:p>
        </w:tc>
        <w:tc>
          <w:tcPr>
            <w:tcW w:type="pct" w:w="16%"/>
            <w:tcMar>
              <w:top w:type="dxa" w:w="80"/>
              <w:left w:type="dxa" w:w="100"/>
              <w:bottom w:type="dxa" w:w="80"/>
              <w:right w:type="dxa" w:w="100"/>
            </w:tcMar>
          </w:tcPr>
          <w:p>
            <w:r>
              <w:rPr>
                <w:b w:val="false"/>
                <w:bCs w:val="false"/>
                <w:color w:val="000000"/>
                <w:sz w:val="19"/>
                <w:szCs w:val="19"/>
              </w:rPr>
              <w:t xml:space="preserve">6,216</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East Midlands</w:t>
            </w:r>
          </w:p>
        </w:tc>
        <w:tc>
          <w:tcPr>
            <w:tcW w:type="pct" w:w="16%"/>
            <w:tcMar>
              <w:top w:type="dxa" w:w="80"/>
              <w:left w:type="dxa" w:w="100"/>
              <w:bottom w:type="dxa" w:w="80"/>
              <w:right w:type="dxa" w:w="100"/>
            </w:tcMar>
          </w:tcPr>
          <w:p>
            <w:r>
              <w:rPr>
                <w:b w:val="false"/>
                <w:bCs w:val="false"/>
                <w:color w:val="000000"/>
                <w:sz w:val="19"/>
                <w:szCs w:val="19"/>
              </w:rPr>
              <w:t xml:space="preserve">1</w:t>
            </w:r>
          </w:p>
        </w:tc>
        <w:tc>
          <w:tcPr>
            <w:tcW w:type="pct" w:w="16%"/>
            <w:tcMar>
              <w:top w:type="dxa" w:w="80"/>
              <w:left w:type="dxa" w:w="100"/>
              <w:bottom w:type="dxa" w:w="80"/>
              <w:right w:type="dxa" w:w="100"/>
            </w:tcMar>
          </w:tcPr>
          <w:p>
            <w:r>
              <w:rPr>
                <w:b w:val="false"/>
                <w:bCs w:val="false"/>
                <w:color w:val="000000"/>
                <w:sz w:val="19"/>
                <w:szCs w:val="19"/>
              </w:rPr>
              <w:t xml:space="preserve">3.62</w:t>
            </w:r>
          </w:p>
        </w:tc>
        <w:tc>
          <w:tcPr>
            <w:tcW w:type="pct" w:w="16%"/>
            <w:tcMar>
              <w:top w:type="dxa" w:w="80"/>
              <w:left w:type="dxa" w:w="100"/>
              <w:bottom w:type="dxa" w:w="80"/>
              <w:right w:type="dxa" w:w="100"/>
            </w:tcMar>
          </w:tcPr>
          <w:p>
            <w:r>
              <w:rPr>
                <w:b w:val="false"/>
                <w:bCs w:val="false"/>
                <w:color w:val="000000"/>
                <w:sz w:val="19"/>
                <w:szCs w:val="19"/>
              </w:rPr>
              <w:t xml:space="preserve">18,000</w:t>
            </w:r>
          </w:p>
        </w:tc>
        <w:tc>
          <w:tcPr>
            <w:tcW w:type="pct" w:w="16%"/>
            <w:tcMar>
              <w:top w:type="dxa" w:w="80"/>
              <w:left w:type="dxa" w:w="100"/>
              <w:bottom w:type="dxa" w:w="80"/>
              <w:right w:type="dxa" w:w="100"/>
            </w:tcMar>
          </w:tcPr>
          <w:p>
            <w:r>
              <w:rPr>
                <w:b w:val="false"/>
                <w:bCs w:val="false"/>
                <w:color w:val="000000"/>
                <w:sz w:val="19"/>
                <w:szCs w:val="19"/>
              </w:rPr>
              <w:t xml:space="preserve">280,000</w:t>
            </w:r>
          </w:p>
        </w:tc>
        <w:tc>
          <w:tcPr>
            <w:tcW w:type="pct" w:w="16%"/>
            <w:tcMar>
              <w:top w:type="dxa" w:w="80"/>
              <w:left w:type="dxa" w:w="100"/>
              <w:bottom w:type="dxa" w:w="80"/>
              <w:right w:type="dxa" w:w="100"/>
            </w:tcMar>
          </w:tcPr>
          <w:p>
            <w:r>
              <w:rPr>
                <w:b w:val="false"/>
                <w:bCs w:val="false"/>
                <w:color w:val="000000"/>
                <w:sz w:val="19"/>
                <w:szCs w:val="19"/>
              </w:rPr>
              <w:t xml:space="preserve">2,072</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West Midlands</w:t>
            </w:r>
          </w:p>
        </w:tc>
        <w:tc>
          <w:tcPr>
            <w:tcW w:type="pct" w:w="16%"/>
            <w:tcMar>
              <w:top w:type="dxa" w:w="80"/>
              <w:left w:type="dxa" w:w="100"/>
              <w:bottom w:type="dxa" w:w="80"/>
              <w:right w:type="dxa" w:w="100"/>
            </w:tcMar>
          </w:tcPr>
          <w:p>
            <w:r>
              <w:rPr>
                <w:b w:val="false"/>
                <w:bCs w:val="false"/>
                <w:color w:val="000000"/>
                <w:sz w:val="19"/>
                <w:szCs w:val="19"/>
              </w:rPr>
              <w:t xml:space="preserve">1</w:t>
            </w:r>
          </w:p>
        </w:tc>
        <w:tc>
          <w:tcPr>
            <w:tcW w:type="pct" w:w="16%"/>
            <w:tcMar>
              <w:top w:type="dxa" w:w="80"/>
              <w:left w:type="dxa" w:w="100"/>
              <w:bottom w:type="dxa" w:w="80"/>
              <w:right w:type="dxa" w:w="100"/>
            </w:tcMar>
          </w:tcPr>
          <w:p>
            <w:r>
              <w:rPr>
                <w:b w:val="false"/>
                <w:bCs w:val="false"/>
                <w:color w:val="000000"/>
                <w:sz w:val="19"/>
                <w:szCs w:val="19"/>
              </w:rPr>
              <w:t xml:space="preserve">3.62</w:t>
            </w:r>
          </w:p>
        </w:tc>
        <w:tc>
          <w:tcPr>
            <w:tcW w:type="pct" w:w="16%"/>
            <w:tcMar>
              <w:top w:type="dxa" w:w="80"/>
              <w:left w:type="dxa" w:w="100"/>
              <w:bottom w:type="dxa" w:w="80"/>
              <w:right w:type="dxa" w:w="100"/>
            </w:tcMar>
          </w:tcPr>
          <w:p>
            <w:r>
              <w:rPr>
                <w:b w:val="false"/>
                <w:bCs w:val="false"/>
                <w:color w:val="000000"/>
                <w:sz w:val="19"/>
                <w:szCs w:val="19"/>
              </w:rPr>
              <w:t xml:space="preserve">18,000</w:t>
            </w:r>
          </w:p>
        </w:tc>
        <w:tc>
          <w:tcPr>
            <w:tcW w:type="pct" w:w="16%"/>
            <w:tcMar>
              <w:top w:type="dxa" w:w="80"/>
              <w:left w:type="dxa" w:w="100"/>
              <w:bottom w:type="dxa" w:w="80"/>
              <w:right w:type="dxa" w:w="100"/>
            </w:tcMar>
          </w:tcPr>
          <w:p>
            <w:r>
              <w:rPr>
                <w:b w:val="false"/>
                <w:bCs w:val="false"/>
                <w:color w:val="000000"/>
                <w:sz w:val="19"/>
                <w:szCs w:val="19"/>
              </w:rPr>
              <w:t xml:space="preserve">280,000</w:t>
            </w:r>
          </w:p>
        </w:tc>
        <w:tc>
          <w:tcPr>
            <w:tcW w:type="pct" w:w="16%"/>
            <w:tcMar>
              <w:top w:type="dxa" w:w="80"/>
              <w:left w:type="dxa" w:w="100"/>
              <w:bottom w:type="dxa" w:w="80"/>
              <w:right w:type="dxa" w:w="100"/>
            </w:tcMar>
          </w:tcPr>
          <w:p>
            <w:r>
              <w:rPr>
                <w:b w:val="false"/>
                <w:bCs w:val="false"/>
                <w:color w:val="000000"/>
                <w:sz w:val="19"/>
                <w:szCs w:val="19"/>
              </w:rPr>
              <w:t xml:space="preserve">2,072</w:t>
            </w:r>
          </w:p>
        </w:tc>
      </w:tr>
      <w:tr>
        <w:trPr>
          <w:cantSplit/>
        </w:trPr>
        <w:tc>
          <w:tcPr>
            <w:tcW w:type="pct" w:w="16%"/>
            <w:tcMar>
              <w:top w:type="dxa" w:w="80"/>
              <w:left w:type="dxa" w:w="100"/>
              <w:bottom w:type="dxa" w:w="80"/>
              <w:right w:type="dxa" w:w="100"/>
            </w:tcMar>
          </w:tcPr>
          <w:p>
            <w:r>
              <w:rPr>
                <w:b w:val="false"/>
                <w:bCs w:val="false"/>
                <w:color w:val="000000"/>
                <w:sz w:val="19"/>
                <w:szCs w:val="19"/>
              </w:rPr>
              <w:t xml:space="preserve">Northern Ireland</w:t>
            </w:r>
          </w:p>
        </w:tc>
        <w:tc>
          <w:tcPr>
            <w:tcW w:type="pct" w:w="16%"/>
            <w:tcMar>
              <w:top w:type="dxa" w:w="80"/>
              <w:left w:type="dxa" w:w="100"/>
              <w:bottom w:type="dxa" w:w="80"/>
              <w:right w:type="dxa" w:w="100"/>
            </w:tcMar>
          </w:tcPr>
          <w:p>
            <w:r>
              <w:rPr>
                <w:b w:val="false"/>
                <w:bCs w:val="false"/>
                <w:color w:val="000000"/>
                <w:sz w:val="19"/>
                <w:szCs w:val="19"/>
              </w:rPr>
              <w:t xml:space="preserve">1</w:t>
            </w:r>
          </w:p>
        </w:tc>
        <w:tc>
          <w:tcPr>
            <w:tcW w:type="pct" w:w="16%"/>
            <w:tcMar>
              <w:top w:type="dxa" w:w="80"/>
              <w:left w:type="dxa" w:w="100"/>
              <w:bottom w:type="dxa" w:w="80"/>
              <w:right w:type="dxa" w:w="100"/>
            </w:tcMar>
          </w:tcPr>
          <w:p>
            <w:r>
              <w:rPr>
                <w:b w:val="false"/>
                <w:bCs w:val="false"/>
                <w:color w:val="000000"/>
                <w:sz w:val="19"/>
                <w:szCs w:val="19"/>
              </w:rPr>
              <w:t xml:space="preserve">3.62</w:t>
            </w:r>
          </w:p>
        </w:tc>
        <w:tc>
          <w:tcPr>
            <w:tcW w:type="pct" w:w="16%"/>
            <w:tcMar>
              <w:top w:type="dxa" w:w="80"/>
              <w:left w:type="dxa" w:w="100"/>
              <w:bottom w:type="dxa" w:w="80"/>
              <w:right w:type="dxa" w:w="100"/>
            </w:tcMar>
          </w:tcPr>
          <w:p>
            <w:r>
              <w:rPr>
                <w:b w:val="false"/>
                <w:bCs w:val="false"/>
                <w:color w:val="000000"/>
                <w:sz w:val="19"/>
                <w:szCs w:val="19"/>
              </w:rPr>
              <w:t xml:space="preserve">18,000</w:t>
            </w:r>
          </w:p>
        </w:tc>
        <w:tc>
          <w:tcPr>
            <w:tcW w:type="pct" w:w="16%"/>
            <w:tcMar>
              <w:top w:type="dxa" w:w="80"/>
              <w:left w:type="dxa" w:w="100"/>
              <w:bottom w:type="dxa" w:w="80"/>
              <w:right w:type="dxa" w:w="100"/>
            </w:tcMar>
          </w:tcPr>
          <w:p>
            <w:r>
              <w:rPr>
                <w:b w:val="false"/>
                <w:bCs w:val="false"/>
                <w:color w:val="000000"/>
                <w:sz w:val="19"/>
                <w:szCs w:val="19"/>
              </w:rPr>
              <w:t xml:space="preserve">280,000</w:t>
            </w:r>
          </w:p>
        </w:tc>
        <w:tc>
          <w:tcPr>
            <w:tcW w:type="pct" w:w="16%"/>
            <w:tcMar>
              <w:top w:type="dxa" w:w="80"/>
              <w:left w:type="dxa" w:w="100"/>
              <w:bottom w:type="dxa" w:w="80"/>
              <w:right w:type="dxa" w:w="100"/>
            </w:tcMar>
          </w:tcPr>
          <w:p>
            <w:r>
              <w:rPr>
                <w:b w:val="false"/>
                <w:bCs w:val="false"/>
                <w:color w:val="000000"/>
                <w:sz w:val="19"/>
                <w:szCs w:val="19"/>
              </w:rPr>
              <w:t xml:space="preserve">2,072</w:t>
            </w:r>
          </w:p>
        </w:tc>
      </w:tr>
    </w:tbl>
    <w:p>
      <w:pPr>
        <w:spacing w:after="200"/>
      </w:pPr>
    </w:p>
    <w:p>
      <w:pPr>
        <w:spacing w:after="200" w:line="300"/>
      </w:pPr>
      <w:r>
        <w:rPr>
          <w:sz w:val="22"/>
          <w:szCs w:val="22"/>
        </w:rPr>
        <w:t xml:space="preserve">National totals: 28 mega-sites, 101.3 GWe of flexible electricity, ~500,000 jobs, 7.84 million homes in the Heat Halo, 21.2 Mt/year of green hydrogen, and a 200-year operational vision.</w:t>
      </w:r>
    </w:p>
    <w:p>
      <w:r>
        <w:br w:type="page"/>
      </w:r>
    </w:p>
    <w:p>
      <w:pPr>
        <w:pStyle w:val="Heading1"/>
      </w:pPr>
      <w:bookmarkStart w:name="ch10" w:id="1"/>
      <w:r>
        <w:rPr>
          <w:color w:val="9C7A2E"/>
          <w:sz w:val="22"/>
          <w:szCs w:val="22"/>
        </w:rPr>
        <w:t xml:space="preserve">Chapter 10 — Scrutiny &amp; Evidence</w:t>
      </w:r>
      <w:bookmarkEnd w:id="1"/>
    </w:p>
    <w:p>
      <w:pPr>
        <w:spacing w:after="240" w:before="60"/>
      </w:pPr>
      <w:r>
        <w:rPr>
          <w:b/>
          <w:bCs/>
          <w:color w:val="1B2A4A"/>
          <w:sz w:val="40"/>
          <w:szCs w:val="40"/>
        </w:rPr>
        <w:t xml:space="preserve">Scrutiny &amp; Evidence</w:t>
      </w:r>
    </w:p>
    <w:p>
      <w:pPr>
        <w:spacing w:after="300" w:line="300"/>
      </w:pPr>
      <w:r>
        <w:rPr>
          <w:i/>
          <w:iCs/>
          <w:color w:val="333333"/>
          <w:sz w:val="22"/>
          <w:szCs w:val="22"/>
        </w:rPr>
        <w:t xml:space="preserve">“If it sounds too good to be true, it probably is.” Fair enough. This closing chapter puts the toughest objections on the table, traces how Britain lost the energy sovereignty it once had, points to the evidence behind every claim in this document, and closes with the person who wrote it.</w:t>
      </w:r>
    </w:p>
    <w:p>
      <w:pPr>
        <w:pStyle w:val="Heading2"/>
        <w:spacing w:after="160" w:before="300"/>
      </w:pPr>
      <w:bookmarkStart w:name="ch10a" w:id="1"/>
      <w:r>
        <w:rPr>
          <w:b/>
          <w:bCs/>
          <w:color w:val="1B2A4A"/>
        </w:rPr>
        <w:t xml:space="preserve">10a. Challenge the Maths — The Toughest Questions, Answered</w:t>
      </w:r>
      <w:bookmarkEnd w:id="1"/>
    </w:p>
    <w:p>
      <w:pPr>
        <w:spacing w:after="200" w:line="300"/>
      </w:pPr>
      <w:r>
        <w:rPr>
          <w:sz w:val="22"/>
          <w:szCs w:val="22"/>
        </w:rPr>
        <w:t xml:space="preserve">The full CFF website carries 50 sceptical questions from journalists, politicians, and the public, answered head-on with no spin and no evasion. A representative selection follows; the complete set is available at carbonfreefuture.co.uk/challenge.</w:t>
      </w:r>
    </w:p>
    <w:p>
      <w:pPr>
        <w:spacing w:after="100" w:before="200"/>
      </w:pPr>
      <w:r>
        <w:rPr>
          <w:b/>
          <w:bCs/>
          <w:i/>
          <w:iCs/>
          <w:color w:val="1B2A4A"/>
          <w:sz w:val="22"/>
          <w:szCs w:val="22"/>
        </w:rPr>
        <w:t xml:space="preserve">“Isn't nuclear power dangerous? Won't this create 28 ticking time bombs?”</w:t>
      </w:r>
    </w:p>
    <w:p>
      <w:pPr>
        <w:spacing w:after="200" w:line="300"/>
      </w:pPr>
      <w:r>
        <w:rPr>
          <w:sz w:val="22"/>
          <w:szCs w:val="22"/>
        </w:rPr>
        <w:t xml:space="preserve">CFF uses HTGRs — a fundamentally different reactor design. The fuel is TRISO: tiny uranium particles wrapped in three layers of ceramic armour that physically cannot melt, even if every safety system fails simultaneously. The coolant is helium, an inert gas that doesn't corrode, doesn't explode, and doesn't become radioactive. There is no water under pressure, no steam explosion risk, and no possibility of a Chernobyl or Fukushima-style meltdown — the physics of the fuel itself prevents it. China's HTR-PM is already running on this technology today.</w:t>
      </w:r>
    </w:p>
    <w:p>
      <w:pPr>
        <w:spacing w:after="100" w:before="200"/>
      </w:pPr>
      <w:r>
        <w:rPr>
          <w:b/>
          <w:bCs/>
          <w:i/>
          <w:iCs/>
          <w:color w:val="1B2A4A"/>
          <w:sz w:val="22"/>
          <w:szCs w:val="22"/>
        </w:rPr>
        <w:t xml:space="preserve">“£15 billion? The country can't even fill potholes. Where's that money coming from?”</w:t>
      </w:r>
    </w:p>
    <w:p>
      <w:pPr>
        <w:spacing w:after="200" w:line="300"/>
      </w:pPr>
      <w:r>
        <w:rPr>
          <w:sz w:val="22"/>
          <w:szCs w:val="22"/>
        </w:rPr>
        <w:t xml:space="preserve">£15 billion is the series-production target for a complete six-output site, roughly site 7 onward. The programme is staged: each site starts with reactor modules and electricity generation, the highest-value output, then adds desalination, hydrogen, heating, and industrial outputs in sequence, with early revenue funding the next stage. The UK isn't short of money — it's short of priorities. It spent £410 billion on COVID support in two years, £48 billion on Hinkley Point C for a single power station that only makes electricity, and £44 billion decommissioning North Sea oil rigs — spending that leaves nothing behind. CFF is a staged investment that generates revenue from Stage 1 onward and funds the next site.</w:t>
      </w:r>
    </w:p>
    <w:p>
      <w:pPr>
        <w:spacing w:after="100" w:before="200"/>
      </w:pPr>
      <w:r>
        <w:rPr>
          <w:b/>
          <w:bCs/>
          <w:i/>
          <w:iCs/>
          <w:color w:val="1B2A4A"/>
          <w:sz w:val="22"/>
          <w:szCs w:val="22"/>
        </w:rPr>
        <w:t xml:space="preserve">“This will take decades. Why would any government commit to something they won't see finished?”</w:t>
      </w:r>
    </w:p>
    <w:p>
      <w:pPr>
        <w:spacing w:after="200" w:line="300"/>
      </w:pPr>
      <w:r>
        <w:rPr>
          <w:sz w:val="22"/>
          <w:szCs w:val="22"/>
        </w:rPr>
        <w:t xml:space="preserve">The NHS took decades to build. The motorway network took decades. The National Grid took decades. Every piece of infrastructure that defines modern Britain was started by politicians who knew they wouldn't cut the ribbon. Site 1 creates 18,000 jobs and starts generating hydrogen revenue within its construction phase — the political win isn't at the end, it's at the beginning.</w:t>
      </w:r>
    </w:p>
    <w:p>
      <w:pPr>
        <w:spacing w:after="100" w:before="200"/>
      </w:pPr>
      <w:r>
        <w:rPr>
          <w:b/>
          <w:bCs/>
          <w:i/>
          <w:iCs/>
          <w:color w:val="1B2A4A"/>
          <w:sz w:val="22"/>
          <w:szCs w:val="22"/>
        </w:rPr>
        <w:t xml:space="preserve">“Why should the state own it? The private sector is faster.”</w:t>
      </w:r>
    </w:p>
    <w:p>
      <w:pPr>
        <w:spacing w:after="200" w:line="300"/>
      </w:pPr>
      <w:r>
        <w:rPr>
          <w:sz w:val="22"/>
          <w:szCs w:val="22"/>
        </w:rPr>
        <w:t xml:space="preserve">Hinkley Point C is being built by EDF, a French state-owned company, and it is 13 years late and £48 billion over ambition, still not generating a single watt. Private delivery of UK nuclear has been a catastrophic failure. State ownership means long-term planning without shareholder pressure, sovereign control over pricing, no foreign dependency, and profits reinvested into the next site rather than extracted to overseas investors.</w:t>
      </w:r>
    </w:p>
    <w:p>
      <w:pPr>
        <w:spacing w:after="100" w:before="200"/>
      </w:pPr>
      <w:r>
        <w:rPr>
          <w:b/>
          <w:bCs/>
          <w:i/>
          <w:iCs/>
          <w:color w:val="1B2A4A"/>
          <w:sz w:val="22"/>
          <w:szCs w:val="22"/>
        </w:rPr>
        <w:t xml:space="preserve">“Isn't this just one man's opinion? Where's the peer review?”</w:t>
      </w:r>
    </w:p>
    <w:p>
      <w:pPr>
        <w:spacing w:after="200" w:line="300"/>
      </w:pPr>
      <w:r>
        <w:rPr>
          <w:sz w:val="22"/>
          <w:szCs w:val="22"/>
        </w:rPr>
        <w:t xml:space="preserve">CFF is an independent policy proposal, not a government white paper, published openly specifically so it can be challenged. Every number is derived from publicly available engineering data, published reactor specifications, and official cost figures, including Hinkley Point C's own reported escalations. If the maths is wrong, show where. If the engineering doesn't work, explain why. That is the entire point of publishing it.</w:t>
      </w:r>
    </w:p>
    <w:p>
      <w:pPr>
        <w:spacing w:after="100" w:before="200"/>
      </w:pPr>
      <w:r>
        <w:rPr>
          <w:b/>
          <w:bCs/>
          <w:i/>
          <w:iCs/>
          <w:color w:val="1B2A4A"/>
          <w:sz w:val="22"/>
          <w:szCs w:val="22"/>
        </w:rPr>
        <w:t xml:space="preserve">“Who is DJ Waugh? Why should anyone listen to a retired engineer from Sunderland?”</w:t>
      </w:r>
    </w:p>
    <w:p>
      <w:pPr>
        <w:spacing w:after="200" w:line="300"/>
      </w:pPr>
      <w:r>
        <w:rPr>
          <w:sz w:val="22"/>
          <w:szCs w:val="22"/>
        </w:rPr>
        <w:t xml:space="preserve">Because the people who should have proposed this — the energy companies, the civil servants, the think tanks, the politicians — didn't. They were too busy protecting existing contracts, chasing subsidies, and avoiding anything that might upset the current market structure. The proposal stands or falls on its engineering and its numbers, not on who wrote it. If a retired engineer from Sunderland can see what Westminster can't, that says more about Westminster than it does about Sunderland.</w:t>
      </w:r>
    </w:p>
    <w:p>
      <w:pPr>
        <w:pStyle w:val="Heading2"/>
        <w:spacing w:after="160" w:before="300"/>
      </w:pPr>
      <w:bookmarkStart w:name="ch10b" w:id="1"/>
      <w:r>
        <w:rPr>
          <w:b/>
          <w:bCs/>
          <w:color w:val="1B2A4A"/>
        </w:rPr>
        <w:t xml:space="preserve">10b. How Britain Lost Its Energy Sovereignty</w:t>
      </w:r>
      <w:bookmarkEnd w:id="1"/>
    </w:p>
    <w:p>
      <w:pPr>
        <w:spacing w:after="200" w:line="300"/>
      </w:pPr>
      <w:r>
        <w:rPr>
          <w:sz w:val="22"/>
          <w:szCs w:val="22"/>
        </w:rPr>
        <w:t xml:space="preserve">From the state-led reconstruction after the Second World War to the oil-rich decades of the North Sea boom, the United Kingdom once stood as a model of energy self-sufficiency. Understanding how that was lost is part of the case for rebuilding it.</w:t>
      </w:r>
    </w:p>
    <w:p>
      <w:pPr>
        <w:pStyle w:val="ListParagraph"/>
        <w:numPr>
          <w:ilvl w:val="0"/>
          <w:numId w:val="1"/>
        </w:numPr>
        <w:spacing w:after="120" w:line="280"/>
      </w:pPr>
      <w:r>
        <w:rPr>
          <w:sz w:val="22"/>
          <w:szCs w:val="22"/>
        </w:rPr>
        <w:t xml:space="preserve">1945–1970s — Nationalisation: the Coal Industry Nationalisation Act 1946, the Gas Act 1948, and the Electricity Act 1947 brought Britain's fragmented, nearly-600-undertaking energy sector under coordinated state control. Electricity consumption rose 150% between 1948 and the mid-1960s.</w:t>
      </w:r>
    </w:p>
    <w:p>
      <w:pPr>
        <w:pStyle w:val="ListParagraph"/>
        <w:numPr>
          <w:ilvl w:val="0"/>
          <w:numId w:val="1"/>
        </w:numPr>
        <w:spacing w:after="120" w:line="280"/>
      </w:pPr>
      <w:r>
        <w:rPr>
          <w:sz w:val="22"/>
          <w:szCs w:val="22"/>
        </w:rPr>
        <w:t xml:space="preserve">1970s–1990s — The North Sea Boom: major discoveries at Forties (1970) and Brent (1971) transformed Britain into a global energy power. By the 1980s Britain was a net oil exporter; by the 1990s, a net gas exporter too — complete energy sovereignty. UK oil production peaked in 1999.</w:t>
      </w:r>
    </w:p>
    <w:p>
      <w:pPr>
        <w:pStyle w:val="ListParagraph"/>
        <w:numPr>
          <w:ilvl w:val="0"/>
          <w:numId w:val="1"/>
        </w:numPr>
        <w:spacing w:after="120" w:line="280"/>
      </w:pPr>
      <w:r>
        <w:rPr>
          <w:sz w:val="22"/>
          <w:szCs w:val="22"/>
        </w:rPr>
        <w:t xml:space="preserve">1980s–2000s — Privatisation: British Gas was sold in 1986, the regional electricity companies in 1990–91. The stated aim was competition and efficiency; the practical effect was to open the door to foreign ownership of critical national energy infrastructure.</w:t>
      </w:r>
    </w:p>
    <w:p>
      <w:pPr>
        <w:pStyle w:val="ListParagraph"/>
        <w:numPr>
          <w:ilvl w:val="0"/>
          <w:numId w:val="1"/>
        </w:numPr>
        <w:spacing w:after="120" w:line="280"/>
      </w:pPr>
      <w:r>
        <w:rPr>
          <w:sz w:val="22"/>
          <w:szCs w:val="22"/>
        </w:rPr>
        <w:t xml:space="preserve">2000s–Present — Decline of Sovereignty: UK oil production is down 77% against its 1999 peak, gas production down 74% (meeting only 49% of demand), and nuclear generation down nearly 60% since the late 1990s, without adequate replacement. Roughly 40% of total UK energy supply is now imported.</w:t>
      </w:r>
    </w:p>
    <w:p>
      <w:pPr>
        <w:pStyle w:val="ListParagraph"/>
        <w:numPr>
          <w:ilvl w:val="0"/>
          <w:numId w:val="1"/>
        </w:numPr>
        <w:spacing w:after="120" w:line="280"/>
      </w:pPr>
      <w:r>
        <w:rPr>
          <w:sz w:val="22"/>
          <w:szCs w:val="22"/>
        </w:rPr>
        <w:t xml:space="preserve">Today — Vulnerability: the UK holds just 0.9 billion cubic metres of gas storage against the EU's roughly 105 bcm, leaving almost no buffer against supply disruption, while energy imports priced in US dollars expose British households directly to currency risk on top of global price shocks.</w:t>
      </w:r>
    </w:p>
    <w:p>
      <w:pPr>
        <w:spacing w:after="200" w:line="300"/>
      </w:pPr>
      <w:r>
        <w:rPr>
          <w:sz w:val="22"/>
          <w:szCs w:val="22"/>
        </w:rPr>
        <w:t xml:space="preserve">The North Sea's most productive days are over, and new drilling will not reverse the terminal decline. True energy independence for the twenty-first century has to be built on a new foundation — which is the argument this entire document makes.</w:t>
      </w:r>
    </w:p>
    <w:p>
      <w:pPr>
        <w:pStyle w:val="Heading2"/>
        <w:spacing w:after="160" w:before="300"/>
      </w:pPr>
      <w:bookmarkStart w:name="ch10c" w:id="1"/>
      <w:r>
        <w:rPr>
          <w:b/>
          <w:bCs/>
          <w:color w:val="1B2A4A"/>
        </w:rPr>
        <w:t xml:space="preserve">10c. Sources &amp; References</w:t>
      </w:r>
      <w:bookmarkEnd w:id="1"/>
    </w:p>
    <w:p>
      <w:pPr>
        <w:spacing w:after="200" w:line="300"/>
      </w:pPr>
      <w:r>
        <w:rPr>
          <w:sz w:val="22"/>
          <w:szCs w:val="22"/>
        </w:rPr>
        <w:t xml:space="preserve">Every major claim in this document is backed by a credible, verifiable source: government publications, peer-reviewed studies, established scientific organisations, and publicly available data. The full reference list, organised by category, is published at carbonfreefuture.co.uk/sources and includes:</w:t>
      </w:r>
    </w:p>
    <w:p>
      <w:pPr>
        <w:pStyle w:val="ListParagraph"/>
        <w:numPr>
          <w:ilvl w:val="0"/>
          <w:numId w:val="1"/>
        </w:numPr>
        <w:spacing w:after="120" w:line="280"/>
      </w:pPr>
      <w:r>
        <w:rPr>
          <w:sz w:val="22"/>
          <w:szCs w:val="22"/>
        </w:rPr>
        <w:t xml:space="preserve">Nuclear &amp; Reactor Technology — Wikipedia, the OECD Nuclear Energy Agency, Idaho National Laboratory, the Gen IV International Forum, and Oak Ridge National Laboratory on HTGR design and passive safety characteristics.</w:t>
      </w:r>
    </w:p>
    <w:p>
      <w:pPr>
        <w:pStyle w:val="ListParagraph"/>
        <w:numPr>
          <w:ilvl w:val="0"/>
          <w:numId w:val="1"/>
        </w:numPr>
        <w:spacing w:after="120" w:line="280"/>
      </w:pPr>
      <w:r>
        <w:rPr>
          <w:sz w:val="22"/>
          <w:szCs w:val="22"/>
        </w:rPr>
        <w:t xml:space="preserve">Cost Comparisons &amp; Economics — Hinkley Point C's own cost history via EDF's February 2026 results, New Civil Engineer, and the Fingleton Review's findings on UK nuclear regulation.</w:t>
      </w:r>
    </w:p>
    <w:p>
      <w:pPr>
        <w:pStyle w:val="ListParagraph"/>
        <w:numPr>
          <w:ilvl w:val="0"/>
          <w:numId w:val="1"/>
        </w:numPr>
        <w:spacing w:after="120" w:line="280"/>
      </w:pPr>
      <w:r>
        <w:rPr>
          <w:sz w:val="22"/>
          <w:szCs w:val="22"/>
        </w:rPr>
        <w:t xml:space="preserve">Hydrogen Production &amp; HTSE — Idaho National Laboratory cost studies and published HTR-PM and Xe-100 module specifications.</w:t>
      </w:r>
    </w:p>
    <w:p>
      <w:pPr>
        <w:pStyle w:val="ListParagraph"/>
        <w:numPr>
          <w:ilvl w:val="0"/>
          <w:numId w:val="1"/>
        </w:numPr>
        <w:spacing w:after="120" w:line="280"/>
      </w:pPr>
      <w:r>
        <w:rPr>
          <w:sz w:val="22"/>
          <w:szCs w:val="22"/>
        </w:rPr>
        <w:t xml:space="preserve">District Heating — Copenhagen and Scandinavian district heating benchmark data.</w:t>
      </w:r>
    </w:p>
    <w:p>
      <w:pPr>
        <w:pStyle w:val="ListParagraph"/>
        <w:numPr>
          <w:ilvl w:val="0"/>
          <w:numId w:val="1"/>
        </w:numPr>
        <w:spacing w:after="120" w:line="280"/>
      </w:pPr>
      <w:r>
        <w:rPr>
          <w:sz w:val="22"/>
          <w:szCs w:val="22"/>
        </w:rPr>
        <w:t xml:space="preserve">Ocean &amp; Fishing Impact — ICES stock assessments and marine conservation bycatch data.</w:t>
      </w:r>
    </w:p>
    <w:p>
      <w:pPr>
        <w:pStyle w:val="ListParagraph"/>
        <w:numPr>
          <w:ilvl w:val="0"/>
          <w:numId w:val="1"/>
        </w:numPr>
        <w:spacing w:after="120" w:line="280"/>
      </w:pPr>
      <w:r>
        <w:rPr>
          <w:sz w:val="22"/>
          <w:szCs w:val="22"/>
        </w:rPr>
        <w:t xml:space="preserve">UK Energy Policy &amp; Grid — DESNZ DUKES annual statistics, National Grid ESO data, and RenewableUK reporting.</w:t>
      </w:r>
    </w:p>
    <w:p>
      <w:pPr>
        <w:pStyle w:val="ListParagraph"/>
        <w:numPr>
          <w:ilvl w:val="0"/>
          <w:numId w:val="1"/>
        </w:numPr>
        <w:spacing w:after="120" w:line="280"/>
      </w:pPr>
      <w:r>
        <w:rPr>
          <w:sz w:val="22"/>
          <w:szCs w:val="22"/>
        </w:rPr>
        <w:t xml:space="preserve">Renewables Lifespan &amp; Replacement — NREL battery cost projections, USGS mineral reserve data, and offshore wind ownership analysis from the House of Commons Library.</w:t>
      </w:r>
    </w:p>
    <w:p>
      <w:pPr>
        <w:pStyle w:val="ListParagraph"/>
        <w:numPr>
          <w:ilvl w:val="0"/>
          <w:numId w:val="1"/>
        </w:numPr>
        <w:spacing w:after="120" w:line="280"/>
      </w:pPr>
      <w:r>
        <w:rPr>
          <w:sz w:val="22"/>
          <w:szCs w:val="22"/>
        </w:rPr>
        <w:t xml:space="preserve">Jobs, Regeneration &amp; North Sea Transition — Offshore Energies UK decommissioning reports and Unite union workforce transition statements.</w:t>
      </w:r>
    </w:p>
    <w:p>
      <w:pPr>
        <w:spacing w:after="200" w:line="300"/>
      </w:pPr>
      <w:r>
        <w:rPr>
          <w:sz w:val="22"/>
          <w:szCs w:val="22"/>
        </w:rPr>
        <w:t xml:space="preserve">The instruction throughout is the same as the one on the cover of this book: click any link, check any figure, and challenge the maths.</w:t>
      </w:r>
    </w:p>
    <w:p>
      <w:pPr>
        <w:pStyle w:val="Heading2"/>
        <w:spacing w:after="160" w:before="300"/>
      </w:pPr>
      <w:bookmarkStart w:name="ch10d" w:id="1"/>
      <w:r>
        <w:rPr>
          <w:b/>
          <w:bCs/>
          <w:color w:val="1B2A4A"/>
        </w:rPr>
        <w:t xml:space="preserve">10d. About the Author</w:t>
      </w:r>
      <w:bookmarkEnd w:id="1"/>
    </w:p>
    <w:p>
      <w:pPr>
        <w:spacing w:after="200" w:line="300"/>
      </w:pPr>
      <w:r>
        <w:rPr>
          <w:sz w:val="22"/>
          <w:szCs w:val="22"/>
        </w:rPr>
        <w:t xml:space="preserve">DJ Waugh is a retired engineer, father, and grandfather from the North East of England. He is not a lobbyist, not a corporation, and not a think tank — no political affiliation, no commercial backers, no shareholders to appease. Carbon Free Future is a personal initiative born from decades of engineering experience, starting as a sewing machine mechanic and ending a career as a diagnostic gas engineer, and from a direct, lived view of what industrial decline does to a region and the people in it.</w:t>
      </w:r>
    </w:p>
    <w:p>
      <w:pPr>
        <w:pBdr>
          <w:left w:val="single" w:color="9C7A2E" w:sz="18" w:space="12"/>
        </w:pBdr>
        <w:spacing w:after="200" w:before="160"/>
        <w:ind w:left="500" w:right="500"/>
      </w:pPr>
      <w:r>
        <w:rPr>
          <w:i/>
          <w:iCs/>
          <w:color w:val="333333"/>
          <w:sz w:val="22"/>
          <w:szCs w:val="22"/>
        </w:rPr>
        <w:t xml:space="preserve">“I am just a 66-year-old man with a vision… All I ask is they open their minds and re-look.” — DJ Waugh</w:t>
      </w:r>
    </w:p>
    <w:p>
      <w:pPr>
        <w:spacing w:after="200" w:line="300"/>
      </w:pPr>
      <w:r>
        <w:rPr>
          <w:sz w:val="22"/>
          <w:szCs w:val="22"/>
        </w:rPr>
        <w:t xml:space="preserve">Carbon Free Future is presented for public discussion, scrutiny, and — if the numbers stand up — action. It is not affiliated with any government department, political party, or commercial entity. The numbers stand up. Challenge them.</w:t>
      </w:r>
    </w:p>
    <w:p>
      <w:pPr>
        <w:spacing w:after="200" w:line="300"/>
      </w:pPr>
      <w:r>
        <w:rPr>
          <w:sz w:val="22"/>
          <w:szCs w:val="22"/>
        </w:rPr>
        <w:t xml:space="preserve">Contact: contact@carbonfreefuture.co.uk</w:t>
      </w:r>
    </w:p>
    <w:p>
      <w:pPr>
        <w:spacing w:after="200" w:line="300"/>
      </w:pPr>
      <w:r>
        <w:rPr>
          <w:sz w:val="22"/>
          <w:szCs w:val="22"/>
        </w:rPr>
        <w:t xml:space="preserve">The full programme, updated as it develops, is published in complete detail at carbonfreefuture.co.uk — engineering drawings, the full 50-question Challenge the Maths section, source references, and every page this book draws from. Read it, check it, and if you think Britain deserves this conversation, share the link.</w:t>
      </w:r>
    </w:p>
    <w:p>
      <w:r>
        <w:br w:type="page"/>
      </w:r>
    </w:p>
    <w:sectPr>
      <w:headerReference w:type="default" r:id="rId7"/>
      <w:headerReference w:type="first" r:id="rId8"/>
      <w:footerReference w:type="default" r:id="rId9"/>
      <w:footerReference w:type="first" r:id="rId10"/>
      <w:pgSz w:w="11908" w:h="16833"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
    </w:r>
    <w:r>
      <w:rPr>
        <w:color w:val="888888"/>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Carbon Free Future — DJ Waugh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00"/>
    </w:pPr>
    <w:rPr>
      <w:rFonts w:ascii="Calibri" w:cs="Calibri" w:eastAsia="Calibri" w:hAnsi="Calibri"/>
      <w:b/>
      <w:bCs/>
      <w:color w:val="1B2A4A"/>
      <w:sz w:val="34"/>
      <w:szCs w:val="34"/>
    </w:rPr>
  </w:style>
  <w:style w:type="paragraph" w:styleId="Heading2">
    <w:name w:val="Heading 2"/>
    <w:basedOn w:val="Normal"/>
    <w:next w:val="Normal"/>
    <w:qFormat/>
    <w:pPr>
      <w:spacing w:after="120" w:before="200"/>
    </w:pPr>
    <w:rPr>
      <w:rFonts w:ascii="Calibri" w:cs="Calibri" w:eastAsia="Calibri" w:hAnsi="Calibri"/>
      <w:b/>
      <w:bCs/>
      <w:color w:val="1B2A4A"/>
      <w:sz w:val="27"/>
      <w:szCs w:val="27"/>
    </w:rPr>
  </w:style>
  <w:style w:type="paragraph" w:styleId="Heading4">
    <w:name w:val="Heading 4"/>
    <w:basedOn w:val="Normal"/>
    <w:next w:val="Normal"/>
    <w:qFormat/>
    <w:pPr>
      <w:spacing w:after="100" w:before="160"/>
    </w:pPr>
    <w:rPr>
      <w:rFonts w:ascii="Calibri" w:cs="Calibri" w:eastAsia="Calibri" w:hAnsi="Calibri"/>
      <w:b/>
      <w:bCs/>
      <w:color w:val="1B2A4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d7d84740dd74698d6efc15577c49e87a64a1fbd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Free Future</dc:title>
  <dc:creator>DJ Waugh</dc:creator>
  <cp:lastModifiedBy>Un-named</cp:lastModifiedBy>
  <cp:revision>1</cp:revision>
  <dcterms:created xsi:type="dcterms:W3CDTF">2026-08-14T01:47:52.546Z</dcterms:created>
  <dcterms:modified xsi:type="dcterms:W3CDTF">2026-08-14T01:47:52.570Z</dcterms:modified>
</cp:coreProperties>
</file>

<file path=docProps/custom.xml><?xml version="1.0" encoding="utf-8"?>
<Properties xmlns="http://schemas.openxmlformats.org/officeDocument/2006/custom-properties" xmlns:vt="http://schemas.openxmlformats.org/officeDocument/2006/docPropsVTypes"/>
</file>